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DCB2A" w14:textId="77777777" w:rsidR="008763BF" w:rsidRDefault="00000000">
      <w:pPr>
        <w:pBdr>
          <w:top w:val="nil"/>
          <w:left w:val="nil"/>
          <w:bottom w:val="nil"/>
          <w:right w:val="nil"/>
          <w:between w:val="nil"/>
        </w:pBdr>
        <w:spacing w:after="0" w:line="300" w:lineRule="auto"/>
        <w:jc w:val="center"/>
        <w:rPr>
          <w:color w:val="000000"/>
          <w:sz w:val="22"/>
          <w:szCs w:val="22"/>
        </w:rPr>
      </w:pPr>
      <w:r>
        <w:rPr>
          <w:b/>
          <w:bCs/>
          <w:color w:val="000000"/>
          <w:sz w:val="22"/>
          <w:szCs w:val="22"/>
        </w:rPr>
        <w:t>FORMULARUL ZONELOR PRIORITARE PENTRU BIODIVERSITATE</w:t>
      </w:r>
    </w:p>
    <w:p w14:paraId="486804EA"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1. Identificarea Zonelor Prioritare pentru Biodiversitate (ZPB)</w:t>
      </w:r>
    </w:p>
    <w:p w14:paraId="59916C1C" w14:textId="77777777" w:rsidR="008763BF" w:rsidRDefault="00000000">
      <w:pPr>
        <w:pBdr>
          <w:top w:val="nil"/>
          <w:left w:val="nil"/>
          <w:bottom w:val="nil"/>
          <w:right w:val="nil"/>
          <w:between w:val="nil"/>
        </w:pBdr>
        <w:spacing w:before="240" w:after="80" w:line="300" w:lineRule="auto"/>
        <w:rPr>
          <w:color w:val="000000"/>
          <w:sz w:val="22"/>
          <w:szCs w:val="22"/>
        </w:rPr>
      </w:pPr>
      <w:r>
        <w:rPr>
          <w:b/>
          <w:bCs/>
          <w:color w:val="000000"/>
          <w:sz w:val="22"/>
          <w:szCs w:val="22"/>
        </w:rPr>
        <w:t>1.1. Codul ZPB *</w:t>
      </w:r>
    </w:p>
    <w:p w14:paraId="3AED459D"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ROSCI0020ZPB </w:t>
      </w:r>
    </w:p>
    <w:p w14:paraId="3B9470E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*Codare temporară, aceasta va fi actualizată conform specificațiilor de raportare</w:t>
      </w:r>
    </w:p>
    <w:p w14:paraId="48BC11B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1.2. Denumire ZPB </w:t>
      </w:r>
    </w:p>
    <w:p w14:paraId="7200F52B"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Câmpia Careiului</w:t>
      </w:r>
    </w:p>
    <w:p w14:paraId="29CA6257"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1.3. Încadrarea ZPB  în:</w:t>
      </w:r>
    </w:p>
    <w:p w14:paraId="542B76DA" w14:textId="77777777" w:rsidR="008763BF" w:rsidRDefault="00000000">
      <w:pPr>
        <w:pBdr>
          <w:top w:val="nil"/>
          <w:left w:val="nil"/>
          <w:bottom w:val="nil"/>
          <w:right w:val="nil"/>
          <w:between w:val="nil"/>
        </w:pBdr>
        <w:spacing w:after="0" w:line="300" w:lineRule="auto"/>
        <w:rPr>
          <w:color w:val="000000"/>
          <w:sz w:val="22"/>
          <w:szCs w:val="22"/>
        </w:rPr>
      </w:pPr>
      <w:sdt>
        <w:sdtPr>
          <w:tag w:val="goog_rdk_0"/>
          <w:id w:val="-1531444694"/>
        </w:sdtPr>
        <w:sdtContent>
          <w:r>
            <w:rPr>
              <w:rFonts w:ascii="Arial Unicode MS" w:eastAsia="Arial Unicode MS" w:hAnsi="Arial Unicode MS" w:cs="Arial Unicode MS"/>
              <w:color w:val="000000"/>
              <w:sz w:val="22"/>
              <w:szCs w:val="22"/>
            </w:rPr>
            <w:t>☑</w:t>
          </w:r>
        </w:sdtContent>
      </w:sdt>
      <w:r>
        <w:rPr>
          <w:color w:val="000000"/>
          <w:sz w:val="22"/>
          <w:szCs w:val="22"/>
        </w:rPr>
        <w:t xml:space="preserve"> Arie naturală protejată</w:t>
      </w:r>
    </w:p>
    <w:p w14:paraId="227B5B78" w14:textId="77777777" w:rsidR="008763BF" w:rsidRDefault="00000000">
      <w:pPr>
        <w:pBdr>
          <w:top w:val="nil"/>
          <w:left w:val="nil"/>
          <w:bottom w:val="nil"/>
          <w:right w:val="nil"/>
          <w:between w:val="nil"/>
        </w:pBdr>
        <w:spacing w:after="0" w:line="300" w:lineRule="auto"/>
        <w:rPr>
          <w:color w:val="000000"/>
          <w:sz w:val="22"/>
          <w:szCs w:val="22"/>
        </w:rPr>
      </w:pPr>
      <w:sdt>
        <w:sdtPr>
          <w:tag w:val="goog_rdk_1"/>
          <w:id w:val="-709816730"/>
        </w:sdtPr>
        <w:sdtContent>
          <w:r>
            <w:rPr>
              <w:rFonts w:ascii="Arial Unicode MS" w:eastAsia="Arial Unicode MS" w:hAnsi="Arial Unicode MS" w:cs="Arial Unicode MS"/>
              <w:color w:val="000000"/>
              <w:sz w:val="22"/>
              <w:szCs w:val="22"/>
            </w:rPr>
            <w:t xml:space="preserve">☐ </w:t>
          </w:r>
        </w:sdtContent>
      </w:sdt>
      <w:r>
        <w:rPr>
          <w:color w:val="000000"/>
          <w:sz w:val="22"/>
          <w:szCs w:val="22"/>
        </w:rPr>
        <w:t>OECM (Other effective area-based conservation measures)</w:t>
      </w:r>
    </w:p>
    <w:p w14:paraId="7170CF00" w14:textId="77777777" w:rsidR="008763BF" w:rsidRDefault="00000000">
      <w:pPr>
        <w:pBdr>
          <w:top w:val="nil"/>
          <w:left w:val="nil"/>
          <w:bottom w:val="nil"/>
          <w:right w:val="nil"/>
          <w:between w:val="nil"/>
        </w:pBdr>
        <w:spacing w:after="0" w:line="300" w:lineRule="auto"/>
        <w:rPr>
          <w:color w:val="000000"/>
          <w:sz w:val="22"/>
          <w:szCs w:val="22"/>
        </w:rPr>
      </w:pPr>
      <w:sdt>
        <w:sdtPr>
          <w:tag w:val="goog_rdk_2"/>
          <w:id w:val="-951763584"/>
        </w:sdtPr>
        <w:sdtContent>
          <w:r>
            <w:rPr>
              <w:rFonts w:ascii="Arial Unicode MS" w:eastAsia="Arial Unicode MS" w:hAnsi="Arial Unicode MS" w:cs="Arial Unicode MS"/>
              <w:color w:val="000000"/>
              <w:sz w:val="22"/>
              <w:szCs w:val="22"/>
            </w:rPr>
            <w:t>☐</w:t>
          </w:r>
        </w:sdtContent>
      </w:sdt>
      <w:r>
        <w:rPr>
          <w:color w:val="000000"/>
          <w:sz w:val="22"/>
          <w:szCs w:val="22"/>
        </w:rPr>
        <w:t xml:space="preserve"> Zonă potențială care să devină arie naturală protejată</w:t>
      </w:r>
    </w:p>
    <w:tbl>
      <w:tblPr>
        <w:tblStyle w:val="a"/>
        <w:tblW w:w="8980" w:type="dxa"/>
        <w:tblInd w:w="-98" w:type="dxa"/>
        <w:tblLayout w:type="fixed"/>
        <w:tblLook w:val="0400" w:firstRow="0" w:lastRow="0" w:firstColumn="0" w:lastColumn="0" w:noHBand="0" w:noVBand="1"/>
      </w:tblPr>
      <w:tblGrid>
        <w:gridCol w:w="4491"/>
        <w:gridCol w:w="4489"/>
      </w:tblGrid>
      <w:tr w:rsidR="008763BF" w14:paraId="0C13CFC8" w14:textId="77777777">
        <w:tc>
          <w:tcPr>
            <w:tcW w:w="4491" w:type="dxa"/>
          </w:tcPr>
          <w:p w14:paraId="0FC22CFD"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1.4. Data completării</w:t>
            </w:r>
          </w:p>
        </w:tc>
        <w:tc>
          <w:tcPr>
            <w:tcW w:w="4489" w:type="dxa"/>
          </w:tcPr>
          <w:p w14:paraId="27448E4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1.5. Data actualizării</w:t>
            </w:r>
          </w:p>
        </w:tc>
      </w:tr>
      <w:tr w:rsidR="008763BF" w14:paraId="7EA63BFB" w14:textId="77777777">
        <w:tc>
          <w:tcPr>
            <w:tcW w:w="4491" w:type="dxa"/>
          </w:tcPr>
          <w:p w14:paraId="6F16DAC9" w14:textId="77777777" w:rsidR="008763BF" w:rsidRDefault="008763BF">
            <w:pPr>
              <w:widowControl w:val="0"/>
              <w:pBdr>
                <w:top w:val="nil"/>
                <w:left w:val="nil"/>
                <w:bottom w:val="nil"/>
                <w:right w:val="nil"/>
                <w:between w:val="nil"/>
              </w:pBdr>
              <w:spacing w:after="0" w:line="276" w:lineRule="auto"/>
              <w:rPr>
                <w:b/>
                <w:bCs/>
                <w:color w:val="000000"/>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071ECBA9" w14:textId="77777777">
              <w:tc>
                <w:tcPr>
                  <w:tcW w:w="301" w:type="dxa"/>
                  <w:tcBorders>
                    <w:top w:val="single" w:sz="6" w:space="0" w:color="000000"/>
                    <w:left w:val="single" w:sz="6" w:space="0" w:color="000000"/>
                    <w:bottom w:val="single" w:sz="6" w:space="0" w:color="000000"/>
                    <w:right w:val="single" w:sz="6" w:space="0" w:color="000000"/>
                  </w:tcBorders>
                </w:tcPr>
                <w:p w14:paraId="5AD4348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19EFDAEA"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21ADFB82"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2A965C0E"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655656E8"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3C50E99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5</w:t>
                  </w:r>
                </w:p>
              </w:tc>
            </w:tr>
            <w:tr w:rsidR="008763BF" w14:paraId="7FBACF66" w14:textId="77777777">
              <w:tc>
                <w:tcPr>
                  <w:tcW w:w="301" w:type="dxa"/>
                  <w:tcBorders>
                    <w:top w:val="single" w:sz="6" w:space="0" w:color="000000"/>
                    <w:left w:val="single" w:sz="6" w:space="0" w:color="000000"/>
                    <w:bottom w:val="single" w:sz="6" w:space="0" w:color="000000"/>
                    <w:right w:val="single" w:sz="6" w:space="0" w:color="000000"/>
                  </w:tcBorders>
                </w:tcPr>
                <w:p w14:paraId="4377B888"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2EF24B4"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0B5FEB6E"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79D78CD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D43D313"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0E05633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3CB36747" w14:textId="77777777" w:rsidR="008763BF" w:rsidRDefault="008763BF">
            <w:pPr>
              <w:pBdr>
                <w:top w:val="nil"/>
                <w:left w:val="nil"/>
                <w:bottom w:val="nil"/>
                <w:right w:val="nil"/>
                <w:between w:val="nil"/>
              </w:pBdr>
              <w:spacing w:after="0" w:line="300" w:lineRule="auto"/>
              <w:rPr>
                <w:color w:val="000000"/>
                <w:sz w:val="22"/>
                <w:szCs w:val="22"/>
              </w:rPr>
            </w:pPr>
          </w:p>
        </w:tc>
        <w:tc>
          <w:tcPr>
            <w:tcW w:w="4489" w:type="dxa"/>
          </w:tcPr>
          <w:p w14:paraId="498DE5EF" w14:textId="77777777" w:rsidR="008763BF" w:rsidRDefault="008763BF">
            <w:pPr>
              <w:widowControl w:val="0"/>
              <w:pBdr>
                <w:top w:val="nil"/>
                <w:left w:val="nil"/>
                <w:bottom w:val="nil"/>
                <w:right w:val="nil"/>
                <w:between w:val="nil"/>
              </w:pBdr>
              <w:spacing w:after="0" w:line="276" w:lineRule="auto"/>
              <w:rPr>
                <w:color w:val="000000"/>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659F47A1" w14:textId="77777777">
              <w:tc>
                <w:tcPr>
                  <w:tcW w:w="301" w:type="dxa"/>
                  <w:tcBorders>
                    <w:top w:val="single" w:sz="6" w:space="0" w:color="000000"/>
                    <w:left w:val="single" w:sz="6" w:space="0" w:color="000000"/>
                    <w:bottom w:val="single" w:sz="6" w:space="0" w:color="000000"/>
                    <w:right w:val="single" w:sz="6" w:space="0" w:color="000000"/>
                  </w:tcBorders>
                </w:tcPr>
                <w:p w14:paraId="63BAE52D"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13F6EA02"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027C0F78"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6C6A1FAB"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3E4DE25A" w14:textId="77777777" w:rsidR="008763BF" w:rsidRDefault="008763BF">
                  <w:pPr>
                    <w:pBdr>
                      <w:top w:val="nil"/>
                      <w:left w:val="nil"/>
                      <w:bottom w:val="nil"/>
                      <w:right w:val="nil"/>
                      <w:between w:val="nil"/>
                    </w:pBdr>
                    <w:spacing w:after="0" w:line="300" w:lineRule="auto"/>
                    <w:jc w:val="center"/>
                    <w:rPr>
                      <w:color w:val="000000"/>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CF17195" w14:textId="77777777" w:rsidR="008763BF" w:rsidRDefault="008763BF">
                  <w:pPr>
                    <w:pBdr>
                      <w:top w:val="nil"/>
                      <w:left w:val="nil"/>
                      <w:bottom w:val="nil"/>
                      <w:right w:val="nil"/>
                      <w:between w:val="nil"/>
                    </w:pBdr>
                    <w:spacing w:after="0" w:line="300" w:lineRule="auto"/>
                    <w:jc w:val="center"/>
                    <w:rPr>
                      <w:color w:val="000000"/>
                      <w:sz w:val="22"/>
                      <w:szCs w:val="22"/>
                    </w:rPr>
                  </w:pPr>
                </w:p>
              </w:tc>
            </w:tr>
            <w:tr w:rsidR="008763BF" w14:paraId="148BB3C2" w14:textId="77777777">
              <w:tc>
                <w:tcPr>
                  <w:tcW w:w="301" w:type="dxa"/>
                  <w:tcBorders>
                    <w:top w:val="single" w:sz="6" w:space="0" w:color="000000"/>
                    <w:left w:val="single" w:sz="6" w:space="0" w:color="000000"/>
                    <w:bottom w:val="single" w:sz="6" w:space="0" w:color="000000"/>
                    <w:right w:val="single" w:sz="6" w:space="0" w:color="000000"/>
                  </w:tcBorders>
                </w:tcPr>
                <w:p w14:paraId="2A8BD7E9"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1E6D91D"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02414B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233B688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925D7CA"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7BD4249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4E7BCE4D" w14:textId="77777777" w:rsidR="008763BF" w:rsidRDefault="008763BF">
            <w:pPr>
              <w:pBdr>
                <w:top w:val="nil"/>
                <w:left w:val="nil"/>
                <w:bottom w:val="nil"/>
                <w:right w:val="nil"/>
                <w:between w:val="nil"/>
              </w:pBdr>
              <w:spacing w:after="0" w:line="300" w:lineRule="auto"/>
              <w:rPr>
                <w:color w:val="000000"/>
                <w:sz w:val="22"/>
                <w:szCs w:val="22"/>
              </w:rPr>
            </w:pPr>
          </w:p>
        </w:tc>
      </w:tr>
    </w:tbl>
    <w:p w14:paraId="4A580E7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1.6. Responsabili - Nume/Organizație:</w:t>
      </w:r>
    </w:p>
    <w:p w14:paraId="2F308018"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2AED26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1.7. Datele indicării și desemnării ca ZPB </w:t>
      </w:r>
    </w:p>
    <w:tbl>
      <w:tblPr>
        <w:tblStyle w:val="a2"/>
        <w:tblW w:w="8980" w:type="dxa"/>
        <w:tblInd w:w="-98" w:type="dxa"/>
        <w:tblLayout w:type="fixed"/>
        <w:tblLook w:val="0400" w:firstRow="0" w:lastRow="0" w:firstColumn="0" w:lastColumn="0" w:noHBand="0" w:noVBand="1"/>
      </w:tblPr>
      <w:tblGrid>
        <w:gridCol w:w="4454"/>
        <w:gridCol w:w="4526"/>
      </w:tblGrid>
      <w:tr w:rsidR="008763BF" w14:paraId="3EE13A1A" w14:textId="77777777">
        <w:tc>
          <w:tcPr>
            <w:tcW w:w="4454" w:type="dxa"/>
          </w:tcPr>
          <w:p w14:paraId="37CB011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Data desemnării ca ZPB :</w:t>
            </w:r>
          </w:p>
        </w:tc>
        <w:tc>
          <w:tcPr>
            <w:tcW w:w="4526" w:type="dxa"/>
          </w:tcPr>
          <w:p w14:paraId="01F61F23" w14:textId="77777777" w:rsidR="008763BF" w:rsidRDefault="008763BF">
            <w:pPr>
              <w:widowControl w:val="0"/>
              <w:pBdr>
                <w:top w:val="nil"/>
                <w:left w:val="nil"/>
                <w:bottom w:val="nil"/>
                <w:right w:val="nil"/>
                <w:between w:val="nil"/>
              </w:pBdr>
              <w:spacing w:after="0" w:line="276" w:lineRule="auto"/>
              <w:rPr>
                <w:color w:val="000000"/>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763BF" w14:paraId="65DD47F4" w14:textId="77777777">
              <w:tc>
                <w:tcPr>
                  <w:tcW w:w="301" w:type="dxa"/>
                  <w:tcBorders>
                    <w:top w:val="single" w:sz="6" w:space="0" w:color="000000"/>
                    <w:left w:val="single" w:sz="6" w:space="0" w:color="000000"/>
                    <w:bottom w:val="single" w:sz="6" w:space="0" w:color="000000"/>
                    <w:right w:val="single" w:sz="6" w:space="0" w:color="000000"/>
                  </w:tcBorders>
                </w:tcPr>
                <w:p w14:paraId="5A152947"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78DD5F09"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5F93CFB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49535B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B398B5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59A33962"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 xml:space="preserve"> </w:t>
                  </w:r>
                </w:p>
              </w:tc>
            </w:tr>
            <w:tr w:rsidR="008763BF" w14:paraId="09A1F4EA" w14:textId="77777777">
              <w:tc>
                <w:tcPr>
                  <w:tcW w:w="301" w:type="dxa"/>
                  <w:tcBorders>
                    <w:top w:val="single" w:sz="6" w:space="0" w:color="000000"/>
                    <w:left w:val="single" w:sz="6" w:space="0" w:color="000000"/>
                    <w:bottom w:val="single" w:sz="6" w:space="0" w:color="000000"/>
                    <w:right w:val="single" w:sz="6" w:space="0" w:color="000000"/>
                  </w:tcBorders>
                </w:tcPr>
                <w:p w14:paraId="751E564C"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7E188B6"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2468590"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67E97D1"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192F0BD"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6D2A44E5" w14:textId="77777777" w:rsidR="008763BF" w:rsidRDefault="00000000">
                  <w:pPr>
                    <w:pBdr>
                      <w:top w:val="nil"/>
                      <w:left w:val="nil"/>
                      <w:bottom w:val="nil"/>
                      <w:right w:val="nil"/>
                      <w:between w:val="nil"/>
                    </w:pBdr>
                    <w:spacing w:after="0" w:line="300" w:lineRule="auto"/>
                    <w:jc w:val="center"/>
                    <w:rPr>
                      <w:color w:val="000000"/>
                      <w:sz w:val="22"/>
                      <w:szCs w:val="22"/>
                    </w:rPr>
                  </w:pPr>
                  <w:r>
                    <w:rPr>
                      <w:color w:val="000000"/>
                      <w:sz w:val="22"/>
                      <w:szCs w:val="22"/>
                    </w:rPr>
                    <w:t>M</w:t>
                  </w:r>
                </w:p>
              </w:tc>
            </w:tr>
          </w:tbl>
          <w:p w14:paraId="253D61E4" w14:textId="77777777" w:rsidR="008763BF" w:rsidRDefault="008763BF">
            <w:pPr>
              <w:pBdr>
                <w:top w:val="nil"/>
                <w:left w:val="nil"/>
                <w:bottom w:val="nil"/>
                <w:right w:val="nil"/>
                <w:between w:val="nil"/>
              </w:pBdr>
              <w:spacing w:after="0" w:line="300" w:lineRule="auto"/>
              <w:rPr>
                <w:color w:val="000000"/>
                <w:sz w:val="22"/>
                <w:szCs w:val="22"/>
              </w:rPr>
            </w:pPr>
          </w:p>
        </w:tc>
      </w:tr>
    </w:tbl>
    <w:p w14:paraId="617EBBDA" w14:textId="77777777" w:rsidR="008763BF" w:rsidRDefault="00000000">
      <w:pPr>
        <w:pBdr>
          <w:top w:val="nil"/>
          <w:left w:val="nil"/>
          <w:bottom w:val="nil"/>
          <w:right w:val="nil"/>
          <w:between w:val="nil"/>
        </w:pBdr>
        <w:spacing w:before="120" w:after="0" w:line="300" w:lineRule="auto"/>
        <w:rPr>
          <w:color w:val="000000"/>
          <w:sz w:val="22"/>
          <w:szCs w:val="22"/>
        </w:rPr>
      </w:pPr>
      <w:r>
        <w:rPr>
          <w:color w:val="000000"/>
          <w:sz w:val="22"/>
          <w:szCs w:val="22"/>
        </w:rPr>
        <w:t>Referința legală națională a desemnării ZPB :</w:t>
      </w:r>
    </w:p>
    <w:p w14:paraId="55F9942D" w14:textId="77777777" w:rsidR="008763BF" w:rsidRDefault="008763BF">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p>
    <w:p w14:paraId="62B67775"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2. Localizarea Zonelor Prioritare pentru Biodiversitate (ZPB)</w:t>
      </w:r>
    </w:p>
    <w:p w14:paraId="0D11C00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 xml:space="preserve">2.1. Suprafața totală a ZPB  (ha)</w:t>
      </w:r>
    </w:p>
    <w:p w14:paraId="7D00EEC2" w14:textId="70F7B64F" w:rsidR="008763BF" w:rsidRDefault="00E859D9">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571,69</w:t>
      </w:r>
    </w:p>
    <w:p w14:paraId="27D4925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2.2. Procentul ocupat de ZPB  din suprafața totală a ariei naturale protejate</w:t>
      </w:r>
    </w:p>
    <w:p w14:paraId="20FF1C34"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2,42%</w:t>
      </w:r>
      <w:r>
        <w:rPr>
          <w:sz w:val="22"/>
          <w:szCs w:val="22"/>
        </w:rPr>
        <w:t/>
      </w:r>
      <w:r>
        <w:rPr>
          <w:color w:val="000000"/>
          <w:sz w:val="22"/>
          <w:szCs w:val="22"/>
        </w:rPr>
        <w:t/>
      </w:r>
    </w:p>
    <w:p w14:paraId="75E9AF6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lastRenderedPageBreak/>
        <w:t>2.3. Încadrarea ZPB  în regiunile administrative</w:t>
      </w:r>
    </w:p>
    <w:tbl>
      <w:tblPr>
        <w:tblStyle w:val="a4"/>
        <w:tblW w:w="8980" w:type="dxa"/>
        <w:tblInd w:w="-98" w:type="dxa"/>
        <w:tblLayout w:type="fixed"/>
        <w:tblLook w:val="0400" w:firstRow="0" w:lastRow="0" w:firstColumn="0" w:lastColumn="0" w:noHBand="0" w:noVBand="1"/>
      </w:tblPr>
      <w:tblGrid>
        <w:gridCol w:w="3157"/>
        <w:gridCol w:w="443"/>
        <w:gridCol w:w="5380"/>
      </w:tblGrid>
      <w:tr w:rsidR="008763BF" w14:paraId="5CC2FF0D" w14:textId="77777777">
        <w:tc>
          <w:tcPr>
            <w:tcW w:w="3157" w:type="dxa"/>
          </w:tcPr>
          <w:p w14:paraId="20FA4128"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NUTS</w:t>
            </w:r>
          </w:p>
        </w:tc>
        <w:tc>
          <w:tcPr>
            <w:tcW w:w="443" w:type="dxa"/>
          </w:tcPr>
          <w:p w14:paraId="3BA26D6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 </w:t>
            </w:r>
          </w:p>
        </w:tc>
        <w:tc>
          <w:tcPr>
            <w:tcW w:w="5380" w:type="dxa"/>
          </w:tcPr>
          <w:p w14:paraId="614CDCE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Numele regiunii</w:t>
            </w:r>
          </w:p>
        </w:tc>
      </w:tr>
      <w:tr w:rsidR="008763BF" w14:paraId="35D11E27" w14:textId="77777777">
        <w:tc>
          <w:tcPr>
            <w:tcW w:w="3157" w:type="dxa"/>
            <w:tcBorders>
              <w:top w:val="single" w:sz="6" w:space="0" w:color="000000"/>
              <w:left w:val="single" w:sz="6" w:space="0" w:color="000000"/>
              <w:bottom w:val="single" w:sz="6" w:space="0" w:color="000000"/>
              <w:right w:val="single" w:sz="6" w:space="0" w:color="000000"/>
            </w:tcBorders>
          </w:tcPr>
          <w:p w14:paraId="3FBF88F6"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RO11</w:t>
            </w:r>
          </w:p>
        </w:tc>
        <w:tc>
          <w:tcPr>
            <w:tcW w:w="443" w:type="dxa"/>
          </w:tcPr>
          <w:p w14:paraId="31F62D25"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C2EADD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Nord-Vest</w:t>
            </w:r>
          </w:p>
        </w:tc>
      </w:tr>
    </w:tbl>
    <w:p w14:paraId="327E855A" w14:textId="77777777" w:rsidR="008763BF" w:rsidRDefault="00000000">
      <w:pPr>
        <w:pBdr>
          <w:top w:val="nil"/>
          <w:left w:val="nil"/>
          <w:bottom w:val="nil"/>
          <w:right w:val="nil"/>
          <w:between w:val="nil"/>
        </w:pBdr>
        <w:spacing w:before="160" w:after="80" w:line="300" w:lineRule="auto"/>
        <w:rPr>
          <w:color w:val="000000"/>
          <w:sz w:val="22"/>
          <w:szCs w:val="22"/>
        </w:rPr>
      </w:pPr>
      <w:r>
        <w:rPr>
          <w:color w:val="000000"/>
          <w:sz w:val="22"/>
          <w:szCs w:val="22"/>
        </w:rPr>
        <w:t>Numele Județului/Județelor</w:t>
      </w:r>
    </w:p>
    <w:p w14:paraId="3ACE969A"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Bihor, Satu Mare</w:t>
      </w:r>
    </w:p>
    <w:p w14:paraId="227461AC"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2.4. Încadrarea ZPB  în regiunile biogeografice</w:t>
      </w:r>
    </w:p>
    <w:tbl>
      <w:tblPr>
        <w:tblStyle w:val="a5"/>
        <w:tblW w:w="8980" w:type="dxa"/>
        <w:tblInd w:w="-98" w:type="dxa"/>
        <w:tblLayout w:type="fixed"/>
        <w:tblLook w:val="0400" w:firstRow="0" w:lastRow="0" w:firstColumn="0" w:lastColumn="0" w:noHBand="0" w:noVBand="1"/>
      </w:tblPr>
      <w:tblGrid>
        <w:gridCol w:w="2803"/>
        <w:gridCol w:w="236"/>
        <w:gridCol w:w="2874"/>
        <w:gridCol w:w="236"/>
        <w:gridCol w:w="2831"/>
      </w:tblGrid>
      <w:tr w:rsidR="008763BF" w14:paraId="64408A05" w14:textId="77777777">
        <w:tc>
          <w:tcPr>
            <w:tcW w:w="2803" w:type="dxa"/>
          </w:tcPr>
          <w:p w14:paraId="65D3C126" w14:textId="77777777" w:rsidR="008763BF" w:rsidRDefault="00000000">
            <w:pPr>
              <w:pBdr>
                <w:top w:val="nil"/>
                <w:left w:val="nil"/>
                <w:bottom w:val="nil"/>
                <w:right w:val="nil"/>
                <w:between w:val="nil"/>
              </w:pBdr>
              <w:spacing w:after="0" w:line="300" w:lineRule="auto"/>
              <w:rPr>
                <w:color w:val="000000"/>
                <w:sz w:val="22"/>
                <w:szCs w:val="22"/>
              </w:rPr>
            </w:pPr>
            <w:sdt>
              <w:sdtPr>
                <w:tag w:val="goog_rdk_3"/>
                <w:id w:val="-1944909647"/>
              </w:sdtPr>
              <w:sdtContent>
                <w:r>
                  <w:rPr>
                    <w:rFonts w:ascii="Arial Unicode MS" w:eastAsia="Arial Unicode MS" w:hAnsi="Arial Unicode MS" w:cs="Arial Unicode MS"/>
                    <w:color w:val="000000"/>
                    <w:sz w:val="22"/>
                    <w:szCs w:val="22"/>
                  </w:rPr>
                  <w:t>☐</w:t>
                </w:r>
              </w:sdtContent>
            </w:sdt>
            <w:r>
              <w:rPr>
                <w:color w:val="000000"/>
                <w:sz w:val="22"/>
                <w:szCs w:val="22"/>
              </w:rPr>
              <w:t xml:space="preserve"> Alpină %</w:t>
            </w:r>
          </w:p>
        </w:tc>
        <w:tc>
          <w:tcPr>
            <w:tcW w:w="236" w:type="dxa"/>
          </w:tcPr>
          <w:p w14:paraId="07A5BB74" w14:textId="77777777" w:rsidR="008763BF" w:rsidRDefault="008763BF">
            <w:pPr>
              <w:pBdr>
                <w:top w:val="nil"/>
                <w:left w:val="nil"/>
                <w:bottom w:val="nil"/>
                <w:right w:val="nil"/>
                <w:between w:val="nil"/>
              </w:pBdr>
              <w:spacing w:after="0" w:line="300" w:lineRule="auto"/>
              <w:rPr>
                <w:color w:val="000000"/>
                <w:sz w:val="22"/>
                <w:szCs w:val="22"/>
              </w:rPr>
            </w:pPr>
          </w:p>
        </w:tc>
        <w:tc>
          <w:tcPr>
            <w:tcW w:w="2874" w:type="dxa"/>
          </w:tcPr>
          <w:p w14:paraId="7C151326" w14:textId="77777777" w:rsidR="008763BF" w:rsidRDefault="00000000">
            <w:pPr>
              <w:pBdr>
                <w:top w:val="nil"/>
                <w:left w:val="nil"/>
                <w:bottom w:val="nil"/>
                <w:right w:val="nil"/>
                <w:between w:val="nil"/>
              </w:pBdr>
              <w:spacing w:after="0" w:line="300" w:lineRule="auto"/>
              <w:rPr>
                <w:color w:val="000000"/>
                <w:sz w:val="22"/>
                <w:szCs w:val="22"/>
              </w:rPr>
            </w:pPr>
            <w:sdt>
              <w:sdtPr>
                <w:tag w:val="goog_rdk_4"/>
                <w:id w:val="937459515"/>
              </w:sdtPr>
              <w:sdtContent>
                <w:r>
                  <w:rPr>
                    <w:rFonts w:ascii="Arial Unicode MS" w:eastAsia="Arial Unicode MS" w:hAnsi="Arial Unicode MS" w:cs="Arial Unicode MS"/>
                    <w:color w:val="000000"/>
                    <w:sz w:val="22"/>
                    <w:szCs w:val="22"/>
                  </w:rPr>
                  <w:t>☐</w:t>
                </w:r>
              </w:sdtContent>
            </w:sdt>
            <w:r>
              <w:rPr>
                <w:color w:val="000000"/>
                <w:sz w:val="22"/>
                <w:szCs w:val="22"/>
              </w:rPr>
              <w:t xml:space="preserve"> Continentală %</w:t>
            </w:r>
          </w:p>
        </w:tc>
        <w:tc>
          <w:tcPr>
            <w:tcW w:w="236" w:type="dxa"/>
          </w:tcPr>
          <w:p w14:paraId="4F8C99FB" w14:textId="77777777" w:rsidR="008763BF" w:rsidRDefault="008763BF">
            <w:pPr>
              <w:pBdr>
                <w:top w:val="nil"/>
                <w:left w:val="nil"/>
                <w:bottom w:val="nil"/>
                <w:right w:val="nil"/>
                <w:between w:val="nil"/>
              </w:pBdr>
              <w:spacing w:after="0" w:line="300" w:lineRule="auto"/>
              <w:rPr>
                <w:color w:val="000000"/>
                <w:sz w:val="22"/>
                <w:szCs w:val="22"/>
              </w:rPr>
            </w:pPr>
          </w:p>
        </w:tc>
        <w:tc>
          <w:tcPr>
            <w:tcW w:w="2831" w:type="dxa"/>
          </w:tcPr>
          <w:p w14:paraId="5FFC11B7" w14:textId="77777777" w:rsidR="008763BF" w:rsidRDefault="00000000">
            <w:pPr>
              <w:pBdr>
                <w:top w:val="nil"/>
                <w:left w:val="nil"/>
                <w:bottom w:val="nil"/>
                <w:right w:val="nil"/>
                <w:between w:val="nil"/>
              </w:pBdr>
              <w:spacing w:after="0" w:line="300" w:lineRule="auto"/>
              <w:rPr>
                <w:color w:val="000000"/>
                <w:sz w:val="22"/>
                <w:szCs w:val="22"/>
              </w:rPr>
            </w:pPr>
            <w:sdt>
              <w:sdtPr>
                <w:tag w:val="goog_rdk_5"/>
                <w:id w:val="1038858267"/>
              </w:sdtPr>
              <w:sdtContent>
                <w:r>
                  <w:rPr>
                    <w:rFonts w:ascii="Arial Unicode MS" w:eastAsia="Arial Unicode MS" w:hAnsi="Arial Unicode MS" w:cs="Arial Unicode MS"/>
                    <w:color w:val="000000"/>
                    <w:sz w:val="22"/>
                    <w:szCs w:val="22"/>
                  </w:rPr>
                  <w:t>☑</w:t>
                </w:r>
              </w:sdtContent>
            </w:sdt>
            <w:r>
              <w:rPr>
                <w:color w:val="000000"/>
                <w:sz w:val="22"/>
                <w:szCs w:val="22"/>
              </w:rPr>
              <w:t xml:space="preserve"> Panonică 100%</w:t>
            </w:r>
          </w:p>
        </w:tc>
      </w:tr>
      <w:tr w:rsidR="008763BF" w14:paraId="430019CC" w14:textId="77777777">
        <w:tc>
          <w:tcPr>
            <w:tcW w:w="2803" w:type="dxa"/>
          </w:tcPr>
          <w:p w14:paraId="1AFBDB47" w14:textId="77777777" w:rsidR="008763BF" w:rsidRDefault="00000000">
            <w:pPr>
              <w:pBdr>
                <w:top w:val="nil"/>
                <w:left w:val="nil"/>
                <w:bottom w:val="nil"/>
                <w:right w:val="nil"/>
                <w:between w:val="nil"/>
              </w:pBdr>
              <w:spacing w:after="0" w:line="300" w:lineRule="auto"/>
              <w:rPr>
                <w:color w:val="000000"/>
                <w:sz w:val="22"/>
                <w:szCs w:val="22"/>
              </w:rPr>
            </w:pPr>
            <w:sdt>
              <w:sdtPr>
                <w:tag w:val="goog_rdk_6"/>
                <w:id w:val="159269048"/>
              </w:sdtPr>
              <w:sdtContent>
                <w:r>
                  <w:rPr>
                    <w:rFonts w:ascii="Arial Unicode MS" w:eastAsia="Arial Unicode MS" w:hAnsi="Arial Unicode MS" w:cs="Arial Unicode MS"/>
                    <w:color w:val="000000"/>
                    <w:sz w:val="22"/>
                    <w:szCs w:val="22"/>
                  </w:rPr>
                  <w:t>☐</w:t>
                </w:r>
              </w:sdtContent>
            </w:sdt>
            <w:r>
              <w:rPr>
                <w:color w:val="000000"/>
                <w:sz w:val="22"/>
                <w:szCs w:val="22"/>
              </w:rPr>
              <w:t xml:space="preserve"> Stepică %</w:t>
            </w:r>
          </w:p>
        </w:tc>
        <w:tc>
          <w:tcPr>
            <w:tcW w:w="236" w:type="dxa"/>
          </w:tcPr>
          <w:p w14:paraId="4B17F721" w14:textId="77777777" w:rsidR="008763BF" w:rsidRDefault="008763BF">
            <w:pPr>
              <w:pBdr>
                <w:top w:val="nil"/>
                <w:left w:val="nil"/>
                <w:bottom w:val="nil"/>
                <w:right w:val="nil"/>
                <w:between w:val="nil"/>
              </w:pBdr>
              <w:spacing w:after="0" w:line="300" w:lineRule="auto"/>
              <w:rPr>
                <w:color w:val="000000"/>
                <w:sz w:val="22"/>
                <w:szCs w:val="22"/>
              </w:rPr>
            </w:pPr>
          </w:p>
        </w:tc>
        <w:tc>
          <w:tcPr>
            <w:tcW w:w="2874" w:type="dxa"/>
          </w:tcPr>
          <w:p w14:paraId="717079A3" w14:textId="77777777" w:rsidR="008763BF" w:rsidRDefault="00000000">
            <w:pPr>
              <w:pBdr>
                <w:top w:val="nil"/>
                <w:left w:val="nil"/>
                <w:bottom w:val="nil"/>
                <w:right w:val="nil"/>
                <w:between w:val="nil"/>
              </w:pBdr>
              <w:spacing w:after="0" w:line="300" w:lineRule="auto"/>
              <w:rPr>
                <w:color w:val="000000"/>
                <w:sz w:val="22"/>
                <w:szCs w:val="22"/>
              </w:rPr>
            </w:pPr>
            <w:sdt>
              <w:sdtPr>
                <w:tag w:val="goog_rdk_7"/>
                <w:id w:val="-1635459679"/>
              </w:sdtPr>
              <w:sdtContent>
                <w:r>
                  <w:rPr>
                    <w:rFonts w:ascii="Arial Unicode MS" w:eastAsia="Arial Unicode MS" w:hAnsi="Arial Unicode MS" w:cs="Arial Unicode MS"/>
                    <w:color w:val="000000"/>
                    <w:sz w:val="22"/>
                    <w:szCs w:val="22"/>
                  </w:rPr>
                  <w:t>☐</w:t>
                </w:r>
              </w:sdtContent>
            </w:sdt>
            <w:r>
              <w:rPr>
                <w:color w:val="000000"/>
                <w:sz w:val="22"/>
                <w:szCs w:val="22"/>
              </w:rPr>
              <w:t xml:space="preserve"> Pontică %</w:t>
            </w:r>
          </w:p>
        </w:tc>
        <w:tc>
          <w:tcPr>
            <w:tcW w:w="236" w:type="dxa"/>
          </w:tcPr>
          <w:p w14:paraId="02F75B74" w14:textId="77777777" w:rsidR="008763BF" w:rsidRDefault="008763BF">
            <w:pPr>
              <w:pBdr>
                <w:top w:val="nil"/>
                <w:left w:val="nil"/>
                <w:bottom w:val="nil"/>
                <w:right w:val="nil"/>
                <w:between w:val="nil"/>
              </w:pBdr>
              <w:spacing w:after="0" w:line="300" w:lineRule="auto"/>
              <w:rPr>
                <w:color w:val="000000"/>
                <w:sz w:val="22"/>
                <w:szCs w:val="22"/>
              </w:rPr>
            </w:pPr>
          </w:p>
        </w:tc>
        <w:tc>
          <w:tcPr>
            <w:tcW w:w="2831" w:type="dxa"/>
          </w:tcPr>
          <w:p w14:paraId="667C20B8" w14:textId="77777777" w:rsidR="008763BF" w:rsidRDefault="00000000">
            <w:pPr>
              <w:pBdr>
                <w:top w:val="nil"/>
                <w:left w:val="nil"/>
                <w:bottom w:val="nil"/>
                <w:right w:val="nil"/>
                <w:between w:val="nil"/>
              </w:pBdr>
              <w:spacing w:after="0" w:line="300" w:lineRule="auto"/>
              <w:rPr>
                <w:color w:val="000000"/>
                <w:sz w:val="22"/>
                <w:szCs w:val="22"/>
              </w:rPr>
            </w:pPr>
            <w:sdt>
              <w:sdtPr>
                <w:tag w:val="goog_rdk_8"/>
                <w:id w:val="-281086451"/>
              </w:sdtPr>
              <w:sdtContent>
                <w:r>
                  <w:rPr>
                    <w:rFonts w:ascii="Arial Unicode MS" w:eastAsia="Arial Unicode MS" w:hAnsi="Arial Unicode MS" w:cs="Arial Unicode MS"/>
                    <w:color w:val="000000"/>
                    <w:sz w:val="22"/>
                    <w:szCs w:val="22"/>
                  </w:rPr>
                  <w:t>☐</w:t>
                </w:r>
              </w:sdtContent>
            </w:sdt>
            <w:r>
              <w:rPr>
                <w:color w:val="000000"/>
                <w:sz w:val="22"/>
                <w:szCs w:val="22"/>
              </w:rPr>
              <w:t xml:space="preserve"> Marea Neagră %</w:t>
            </w:r>
          </w:p>
        </w:tc>
      </w:tr>
    </w:tbl>
    <w:p w14:paraId="75EA879D" w14:textId="77777777" w:rsidR="008763BF" w:rsidRDefault="008763BF">
      <w:pPr>
        <w:pBdr>
          <w:top w:val="nil"/>
          <w:left w:val="nil"/>
          <w:bottom w:val="nil"/>
          <w:right w:val="nil"/>
          <w:between w:val="nil"/>
        </w:pBdr>
        <w:spacing w:after="0" w:line="300" w:lineRule="auto"/>
        <w:rPr>
          <w:color w:val="000000"/>
          <w:sz w:val="22"/>
          <w:szCs w:val="22"/>
        </w:rPr>
      </w:pPr>
    </w:p>
    <w:p w14:paraId="41619070"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3. Descrierea Zonelor Prioritare pentru Biodiversitate distincte de</w:t>
        <w:br/>
        <w:t xml:space="preserve"> pe teritoriul ariei naturale protejate</w:t>
      </w:r>
    </w:p>
    <w:p w14:paraId="56EF030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3.1. Numărul Zonelor Prioritare pentru Biodiversitate distincte de pe teritoriul ariei naturale protejate:</w:t>
      </w:r>
    </w:p>
    <w:p w14:paraId="2A535A44"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2</w:t>
      </w:r>
    </w:p>
    <w:p w14:paraId="5ABAA3D1"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 Descrierea Zonelor Prioritare pentru Biodiversitate distincte</w:t>
      </w:r>
    </w:p>
    <w:p w14:paraId="452B5CD8"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 Zona Prioritară pentru Biodiversitate nr. 1</w:t>
      </w:r>
    </w:p>
    <w:p w14:paraId="2B95B518"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3.2.1.1. Cod Zona Prioritară pentru Biodiversitate nr. 1</w:t>
      </w:r>
    </w:p>
    <w:p w14:paraId="29511F67"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ZPB 1</w:t>
      </w:r>
    </w:p>
    <w:p w14:paraId="282E8969"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3.2.1.2.  Detalii privind Zona Prioritară pentru Biodiversitate nr. 1</w:t>
      </w:r>
    </w:p>
    <w:p w14:paraId="1C5A5691"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Suprafața totală a ZPB  (ha)</w:t>
      </w:r>
    </w:p>
    <w:p w14:paraId="50B7AED9"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222,55</w:t>
      </w:r>
    </w:p>
    <w:p w14:paraId="31BBA12F"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 xml:space="preserve">Documente relevante în raport cu ZPB </w:t>
      </w:r>
    </w:p>
    <w:p w14:paraId="06236690" w14:textId="77777777" w:rsidR="008763BF" w:rsidRDefault="00000000">
      <w:pPr>
        <w:pBdr>
          <w:top w:val="single" w:sz="6" w:space="0" w:color="000000"/>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Decizia Comitetului Executiv al Consiliului Popular Județean Bihor nr. 22/1981: Pășunea cu Corynephorus de la Voievozi;</w:t>
      </w:r>
    </w:p>
    <w:p w14:paraId="172257AA"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Hotărârea Consiliului Județean Satu Mare nr.  4/1995: Dunele de nisip Foieni;</w:t>
      </w:r>
    </w:p>
    <w:p w14:paraId="1B89D4D3"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RONPA0199 Pășunea cu Corynephorus de la Voievozi, RONPA0694 Dunele de nisip Foieni, RONPA0693 Pădurea Urziceni, RONPA0696 Mlaștina Vermeș;</w:t>
      </w:r>
    </w:p>
    <w:p w14:paraId="11B661BF"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1CD08D9E" w14:textId="77777777" w:rsidR="008763BF" w:rsidRDefault="00000000">
      <w:pPr>
        <w:pBdr>
          <w:top w:val="nil"/>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lastRenderedPageBreak/>
        <w:t>Ordinul Ministrului Mediului, Apelor și Pădurilor nr. 1066/2026 privind aprobarea Metodologiei de identificare a zonelor prioritare pentru biodiversitate;</w:t>
      </w:r>
    </w:p>
    <w:p w14:paraId="07D5A6D7"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3221/19.12.2023 privind aprobarea Planului de management al sitului Natura 2000 ROSCI0020 Câmpia Careiului.</w:t>
      </w:r>
    </w:p>
    <w:p w14:paraId="2A6E41AD"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Informația ecologică</w:t>
      </w:r>
    </w:p>
    <w:tbl>
      <w:tblPr>
        <w:tblStyle w:val="a6"/>
        <w:tblW w:w="8964" w:type="dxa"/>
        <w:tblInd w:w="-97" w:type="dxa"/>
        <w:tblLayout w:type="fixed"/>
        <w:tblLook w:val="0400" w:firstRow="0" w:lastRow="0" w:firstColumn="0" w:lastColumn="0" w:noHBand="0" w:noVBand="1"/>
      </w:tblPr>
      <w:tblGrid>
        <w:gridCol w:w="2924"/>
        <w:gridCol w:w="6040"/>
      </w:tblGrid>
      <w:tr w:rsidR="008763BF" w14:paraId="1D519969"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62DA4CD5" w14:textId="77777777" w:rsidR="008763BF" w:rsidRDefault="00000000">
            <w:pPr>
              <w:pBdr>
                <w:top w:val="nil"/>
                <w:left w:val="nil"/>
                <w:bottom w:val="nil"/>
                <w:right w:val="nil"/>
                <w:between w:val="nil"/>
              </w:pBdr>
              <w:spacing w:after="120" w:line="300" w:lineRule="auto"/>
              <w:rPr>
                <w:color w:val="000000"/>
                <w:sz w:val="22"/>
                <w:szCs w:val="22"/>
              </w:rPr>
            </w:pPr>
            <w:r>
              <w:rPr>
                <w:b/>
                <w:bCs/>
                <w:color w:val="000000"/>
                <w:sz w:val="22"/>
                <w:szCs w:val="22"/>
              </w:rPr>
              <w:t>Informația ecologică</w:t>
            </w:r>
          </w:p>
        </w:tc>
        <w:tc>
          <w:tcPr>
            <w:tcW w:w="6040" w:type="dxa"/>
            <w:tcBorders>
              <w:top w:val="single" w:sz="6" w:space="0" w:color="000000"/>
              <w:left w:val="single" w:sz="6" w:space="0" w:color="000000"/>
              <w:bottom w:val="single" w:sz="6" w:space="0" w:color="000000"/>
              <w:right w:val="single" w:sz="6" w:space="0" w:color="000000"/>
            </w:tcBorders>
          </w:tcPr>
          <w:p w14:paraId="6BC2700D" w14:textId="77777777" w:rsidR="008763BF" w:rsidRDefault="00000000">
            <w:pPr>
              <w:pBdr>
                <w:top w:val="nil"/>
                <w:left w:val="nil"/>
                <w:bottom w:val="nil"/>
                <w:right w:val="nil"/>
                <w:between w:val="nil"/>
              </w:pBdr>
              <w:spacing w:after="120" w:line="300" w:lineRule="auto"/>
              <w:rPr>
                <w:color w:val="000000"/>
                <w:sz w:val="22"/>
                <w:szCs w:val="22"/>
              </w:rPr>
            </w:pPr>
            <w:r>
              <w:rPr>
                <w:b/>
                <w:bCs/>
                <w:color w:val="000000"/>
                <w:sz w:val="22"/>
                <w:szCs w:val="22"/>
              </w:rPr>
              <w:t>Descriere</w:t>
            </w:r>
          </w:p>
        </w:tc>
      </w:tr>
      <w:tr w:rsidR="008763BF" w14:paraId="2D50EB0C"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5E772031"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Habitate de interes comunitar sau de interes național</w:t>
            </w:r>
          </w:p>
        </w:tc>
        <w:tc>
          <w:tcPr>
            <w:tcW w:w="6040" w:type="dxa"/>
            <w:tcBorders>
              <w:top w:val="single" w:sz="6" w:space="0" w:color="000000"/>
              <w:left w:val="single" w:sz="6" w:space="0" w:color="000000"/>
              <w:bottom w:val="single" w:sz="6" w:space="0" w:color="000000"/>
              <w:right w:val="single" w:sz="6" w:space="0" w:color="000000"/>
            </w:tcBorders>
          </w:tcPr>
          <w:p w14:paraId="1B1AE9D8"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păduri temperate europene:</w:t>
            </w:r>
          </w:p>
          <w:p w14:paraId="7289C87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91I0* Vegetație de silvostepă eurosiberiană cu Quercus spp.</w:t>
            </w:r>
          </w:p>
          <w:p w14:paraId="2ADCD553" w14:textId="77777777" w:rsidR="008763BF" w:rsidRDefault="00000000">
            <w:pPr>
              <w:pBdr>
                <w:top w:val="nil"/>
                <w:left w:val="nil"/>
                <w:bottom w:val="nil"/>
                <w:right w:val="nil"/>
                <w:between w:val="nil"/>
              </w:pBdr>
              <w:spacing w:after="0" w:line="300" w:lineRule="auto"/>
              <w:jc w:val="both"/>
              <w:rPr>
                <w:i/>
                <w:iCs/>
                <w:color w:val="000000"/>
                <w:sz w:val="22"/>
                <w:szCs w:val="22"/>
              </w:rPr>
            </w:pPr>
            <w:r>
              <w:rPr>
                <w:i/>
                <w:iCs/>
                <w:color w:val="000000"/>
                <w:sz w:val="22"/>
                <w:szCs w:val="22"/>
              </w:rPr>
              <w:t>91F0 Păduri mixte cu Quercus robur, Ulmus laevis, Fraxinus excelsior sau Fraxinus angustifolia, riverane marilor fluvii (Ulmenion minaris)</w:t>
            </w:r>
          </w:p>
          <w:p w14:paraId="74F0A54B"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pajiști umede seminaturale cu ierburi înalte</w:t>
            </w:r>
          </w:p>
          <w:p w14:paraId="4F022DC6" w14:textId="77777777" w:rsidR="008763BF" w:rsidRDefault="00000000">
            <w:pPr>
              <w:pBdr>
                <w:top w:val="nil"/>
                <w:left w:val="nil"/>
                <w:bottom w:val="nil"/>
                <w:right w:val="nil"/>
                <w:between w:val="nil"/>
              </w:pBdr>
              <w:spacing w:after="0" w:line="300" w:lineRule="auto"/>
              <w:rPr>
                <w:color w:val="000000"/>
                <w:sz w:val="22"/>
                <w:szCs w:val="22"/>
              </w:rPr>
            </w:pPr>
            <w:r>
              <w:rPr>
                <w:i/>
                <w:iCs/>
                <w:color w:val="000000"/>
                <w:sz w:val="22"/>
                <w:szCs w:val="22"/>
              </w:rPr>
              <w:t>6440 – Pajiști aluviale din Cnidion dubii;</w:t>
            </w:r>
          </w:p>
          <w:p w14:paraId="21A2E4C4"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ape curgătoare:</w:t>
            </w:r>
          </w:p>
          <w:p w14:paraId="012EF2E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3260 Cursuri de apă din pajiştile montane cu vegetaţia de Ranunculion fluitantis şi Callitricho-Batrachian</w:t>
            </w:r>
          </w:p>
          <w:p w14:paraId="0128FDCF" w14:textId="77777777" w:rsidR="008763BF" w:rsidRDefault="00000000">
            <w:pPr>
              <w:pBdr>
                <w:top w:val="nil"/>
                <w:left w:val="nil"/>
                <w:bottom w:val="nil"/>
                <w:right w:val="nil"/>
                <w:between w:val="nil"/>
              </w:pBdr>
              <w:spacing w:after="0" w:line="300" w:lineRule="auto"/>
              <w:rPr>
                <w:b/>
                <w:bCs/>
                <w:color w:val="000000"/>
                <w:sz w:val="22"/>
                <w:szCs w:val="22"/>
              </w:rPr>
            </w:pPr>
            <w:r>
              <w:rPr>
                <w:b/>
                <w:bCs/>
                <w:i/>
                <w:iCs/>
                <w:color w:val="000000"/>
                <w:sz w:val="22"/>
                <w:szCs w:val="22"/>
              </w:rPr>
              <w:t>Habitate de dune continentale:</w:t>
            </w:r>
          </w:p>
          <w:p w14:paraId="1C9D8DAC" w14:textId="77777777" w:rsidR="008763BF" w:rsidRDefault="00000000">
            <w:pPr>
              <w:pBdr>
                <w:top w:val="nil"/>
                <w:left w:val="nil"/>
                <w:bottom w:val="nil"/>
                <w:right w:val="nil"/>
                <w:between w:val="nil"/>
              </w:pBdr>
              <w:spacing w:after="0" w:line="300" w:lineRule="auto"/>
              <w:rPr>
                <w:color w:val="000000"/>
                <w:sz w:val="22"/>
                <w:szCs w:val="22"/>
              </w:rPr>
            </w:pPr>
            <w:r>
              <w:rPr>
                <w:i/>
                <w:iCs/>
                <w:color w:val="000000"/>
                <w:sz w:val="22"/>
                <w:szCs w:val="22"/>
              </w:rPr>
              <w:t>2340* - Dune panonice</w:t>
            </w:r>
          </w:p>
          <w:p w14:paraId="6350C98C" w14:textId="77777777" w:rsidR="008763BF" w:rsidRDefault="008763BF">
            <w:pPr>
              <w:pBdr>
                <w:top w:val="nil"/>
                <w:left w:val="nil"/>
                <w:bottom w:val="nil"/>
                <w:right w:val="nil"/>
                <w:between w:val="nil"/>
              </w:pBdr>
              <w:spacing w:after="0" w:line="300" w:lineRule="auto"/>
              <w:rPr>
                <w:color w:val="000000"/>
                <w:sz w:val="22"/>
                <w:szCs w:val="22"/>
              </w:rPr>
            </w:pPr>
          </w:p>
        </w:tc>
      </w:tr>
      <w:tr w:rsidR="008763BF" w14:paraId="54ACB781"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1455EBC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Specii</w:t>
            </w:r>
          </w:p>
        </w:tc>
        <w:tc>
          <w:tcPr>
            <w:tcW w:w="6040" w:type="dxa"/>
            <w:tcBorders>
              <w:top w:val="single" w:sz="6" w:space="0" w:color="000000"/>
              <w:left w:val="single" w:sz="6" w:space="0" w:color="000000"/>
              <w:bottom w:val="single" w:sz="6" w:space="0" w:color="000000"/>
              <w:right w:val="single" w:sz="6" w:space="0" w:color="000000"/>
            </w:tcBorders>
          </w:tcPr>
          <w:p w14:paraId="3F43D30B"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Mamifere:</w:t>
            </w:r>
          </w:p>
          <w:p w14:paraId="28040FFC"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1335 Spermophilus citellus</w:t>
            </w:r>
          </w:p>
          <w:p w14:paraId="3EE5F8DC"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Reptile:</w:t>
            </w:r>
          </w:p>
          <w:p w14:paraId="1788E03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1220 Emys orbicularis</w:t>
            </w:r>
          </w:p>
          <w:p w14:paraId="790F9FEF" w14:textId="77777777" w:rsidR="008763BF" w:rsidRDefault="00000000">
            <w:pPr>
              <w:pBdr>
                <w:top w:val="nil"/>
                <w:left w:val="nil"/>
                <w:bottom w:val="nil"/>
                <w:right w:val="nil"/>
                <w:between w:val="nil"/>
              </w:pBdr>
              <w:spacing w:after="0" w:line="300" w:lineRule="auto"/>
              <w:rPr>
                <w:b/>
                <w:bCs/>
                <w:i/>
                <w:iCs/>
                <w:color w:val="000000"/>
                <w:sz w:val="22"/>
                <w:szCs w:val="22"/>
              </w:rPr>
            </w:pPr>
            <w:r>
              <w:rPr>
                <w:b/>
                <w:bCs/>
                <w:i/>
                <w:iCs/>
                <w:color w:val="000000"/>
                <w:sz w:val="22"/>
                <w:szCs w:val="22"/>
              </w:rPr>
              <w:t>Nevertebrate:</w:t>
            </w:r>
          </w:p>
          <w:p w14:paraId="677785DD"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1088 Cerambyx cerdo</w:t>
            </w:r>
          </w:p>
          <w:p w14:paraId="6F575ACE"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1083 Lucanus cervus</w:t>
            </w:r>
          </w:p>
          <w:p w14:paraId="054383C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1059 Maculinea teleius</w:t>
            </w:r>
          </w:p>
          <w:p w14:paraId="0A23355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1060 Lycaena dispar</w:t>
            </w:r>
          </w:p>
          <w:p w14:paraId="03C258D3"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Plante:</w:t>
            </w:r>
          </w:p>
          <w:p w14:paraId="51D640B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1898 Eleocharis carniolica</w:t>
            </w:r>
          </w:p>
          <w:p w14:paraId="237C75F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4097 Iris aphylla subsp. hungarica</w:t>
            </w:r>
          </w:p>
          <w:p w14:paraId="78C5FF8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4110* Pulsatilla pratensis subsp. hungarica</w:t>
            </w:r>
          </w:p>
          <w:p w14:paraId="5EE9FCB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4098 Iris humilis subsp. arenaria</w:t>
            </w:r>
          </w:p>
          <w:p w14:paraId="51901A4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4068 Adenophora lilifolia</w:t>
            </w:r>
          </w:p>
          <w:p w14:paraId="204DA31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4081 Cirsium brachycephalum</w:t>
            </w:r>
          </w:p>
          <w:p w14:paraId="5D7655C9"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Păsări:</w:t>
            </w:r>
          </w:p>
          <w:p w14:paraId="1FC5F53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A055 Anas querquedula</w:t>
            </w:r>
          </w:p>
          <w:p w14:paraId="085CCF6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A051 Anas strepera</w:t>
            </w:r>
          </w:p>
          <w:p w14:paraId="6B8D00B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A089 Aquila pomarina</w:t>
            </w:r>
          </w:p>
          <w:p w14:paraId="1B60B6E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A224 Caprimulgus europaeus</w:t>
            </w:r>
          </w:p>
          <w:p w14:paraId="6855C11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lastRenderedPageBreak/>
              <w:t>A031 Ciconia ciconia</w:t>
            </w:r>
          </w:p>
          <w:p w14:paraId="3CDC7A66"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A081 Circus aeruginosus</w:t>
            </w:r>
          </w:p>
          <w:p w14:paraId="715070FF"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A084 Circus pygargus</w:t>
            </w:r>
          </w:p>
          <w:p w14:paraId="360BCD9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A231 Coracias garrulus</w:t>
            </w:r>
          </w:p>
          <w:p w14:paraId="7DDAE38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A238 Dendrocopos medius</w:t>
            </w:r>
          </w:p>
          <w:p w14:paraId="5156E14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A429 Dendrocopos syriacus</w:t>
            </w:r>
          </w:p>
          <w:p w14:paraId="0D0CF56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A097 Falco vespertinus</w:t>
            </w:r>
          </w:p>
          <w:p w14:paraId="452F220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A338 Lanius collurio</w:t>
            </w:r>
          </w:p>
          <w:p w14:paraId="3C38FD1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A214 Otus scops</w:t>
            </w:r>
          </w:p>
          <w:p w14:paraId="7152756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A072 Pernis apivorus</w:t>
            </w:r>
          </w:p>
          <w:p w14:paraId="036F0202"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A234 Picus canus</w:t>
            </w:r>
          </w:p>
        </w:tc>
      </w:tr>
      <w:tr w:rsidR="008763BF" w14:paraId="7CEC25DC"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0108B339"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Valoarea ecologică</w:t>
            </w:r>
          </w:p>
        </w:tc>
        <w:tc>
          <w:tcPr>
            <w:tcW w:w="6040" w:type="dxa"/>
            <w:tcBorders>
              <w:top w:val="single" w:sz="6" w:space="0" w:color="000000"/>
              <w:left w:val="single" w:sz="6" w:space="0" w:color="000000"/>
              <w:bottom w:val="single" w:sz="6" w:space="0" w:color="000000"/>
              <w:right w:val="single" w:sz="6" w:space="0" w:color="000000"/>
            </w:tcBorders>
          </w:tcPr>
          <w:p w14:paraId="45D03FA3" w14:textId="77777777" w:rsidR="008763B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61263751" w14:textId="77777777" w:rsidR="008763B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2250156" w14:textId="77777777" w:rsidR="008763BF" w:rsidRDefault="00000000">
            <w:pPr>
              <w:jc w:val="both"/>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30B0EABA" w14:textId="77777777" w:rsidR="008763BF"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0E29BB0A" w14:textId="77777777" w:rsidR="008763BF" w:rsidRDefault="00000000">
            <w:pPr>
              <w:jc w:val="both"/>
            </w:pPr>
            <w:r>
              <w:rPr>
                <w:sz w:val="22"/>
                <w:szCs w:val="22"/>
              </w:rPr>
              <w:t>Zona include habitate caracterizate prin dinamism natural ridicat și condiții ecologice specifice, care susțin comunități biologice adaptate unor factori de mediu restrictivi și contribuie la menținerea diversității ecosistemelor costiere și continentale.</w:t>
            </w:r>
          </w:p>
          <w:p w14:paraId="71F91D76" w14:textId="77777777" w:rsidR="008763BF" w:rsidRDefault="00000000">
            <w:pPr>
              <w:jc w:val="both"/>
            </w:pPr>
            <w:r>
              <w:rPr>
                <w:sz w:val="22"/>
                <w:szCs w:val="22"/>
              </w:rPr>
              <w:t>Desemnarea are la bază valoarea ecologică ridicată a habitatelor și speciilor de interes conservativ asociate ecosistemelor forestiere.</w:t>
            </w:r>
          </w:p>
        </w:tc>
      </w:tr>
      <w:tr w:rsidR="008763BF" w14:paraId="77BB93D6"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0A755BA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Presiuni semnificative</w:t>
            </w:r>
          </w:p>
        </w:tc>
        <w:tc>
          <w:tcPr>
            <w:tcW w:w="6040" w:type="dxa"/>
            <w:tcBorders>
              <w:top w:val="single" w:sz="6" w:space="0" w:color="000000"/>
              <w:left w:val="single" w:sz="6" w:space="0" w:color="000000"/>
              <w:bottom w:val="single" w:sz="6" w:space="0" w:color="000000"/>
              <w:right w:val="single" w:sz="6" w:space="0" w:color="000000"/>
            </w:tcBorders>
          </w:tcPr>
          <w:p w14:paraId="534959A6"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A04.02.01 Pășunatul ne-intensiv al vacilor / A04.02.02 Pășunatul ne-intensiv al oilor</w:t>
            </w:r>
          </w:p>
          <w:p w14:paraId="4001228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A06.01.02 Culturi anuale ne-intensive pentru producția de alimente / </w:t>
            </w:r>
          </w:p>
          <w:p w14:paraId="06974E9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A07 Utilizarea produselor biocide, hormonilor și substanțelor chimice /</w:t>
            </w:r>
          </w:p>
          <w:p w14:paraId="75AFE39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I01 specii invazive non-native (alogene)</w:t>
            </w:r>
          </w:p>
        </w:tc>
      </w:tr>
      <w:tr w:rsidR="008763BF" w14:paraId="6354ED65"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7223738C"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Obiective și măsuri de conservare</w:t>
            </w:r>
          </w:p>
        </w:tc>
        <w:tc>
          <w:tcPr>
            <w:tcW w:w="6040" w:type="dxa"/>
            <w:tcBorders>
              <w:top w:val="single" w:sz="6" w:space="0" w:color="000000"/>
              <w:left w:val="single" w:sz="6" w:space="0" w:color="000000"/>
              <w:bottom w:val="single" w:sz="6" w:space="0" w:color="000000"/>
              <w:right w:val="single" w:sz="6" w:space="0" w:color="000000"/>
            </w:tcBorders>
          </w:tcPr>
          <w:p w14:paraId="5514B6F9"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în regim de non-intervenție pentru habitatele forestiere T1</w:t>
            </w:r>
          </w:p>
          <w:p w14:paraId="16BC44B4"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4FA4637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Conservarea funcționării ecologice naturale a pădurii prin lăsarea proceselor naturale să evolueze liber și limitarea strictă a presiunilor antropice.</w:t>
            </w:r>
          </w:p>
          <w:p w14:paraId="708991C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68AAFB5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Conservarea funcționării ecologice naturale a pădurii: regenerare spontană, succesiune nealterată, mortalitate naturală a arborilor și perturbări naturale.</w:t>
            </w:r>
          </w:p>
          <w:p w14:paraId="0279870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Menținerea elementelor-cheie pentru biodiversitate (arbori foarte bătrâni, arbori-habitat, lemn mort, microhabitate).</w:t>
            </w:r>
          </w:p>
          <w:p w14:paraId="0B3E27D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Asigurarea continuității habitatelor și evitarea fragmentării lor prin infrastructură sau prin accesul necontrolat al activităților umane.</w:t>
            </w:r>
          </w:p>
          <w:p w14:paraId="6A8BD04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Limitarea deranjului produs de activitățile umane — acces motorizat, turism necontrolat și recoltări neautorizate.</w:t>
            </w:r>
          </w:p>
          <w:p w14:paraId="10C13A5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Monitorizarea periodică a stării de conservare a habitatelor și speciilor din ZPB.</w:t>
            </w:r>
          </w:p>
          <w:p w14:paraId="5FE76235"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4AAF863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Fără intervenții asupra structurii pădurii: nu se aplică lucrări de exploatare sau lucrări care modifică structura/compoziția arboretului; evoluția este lăsată pe baza proceselor naturale.</w:t>
            </w:r>
          </w:p>
          <w:p w14:paraId="4ABCA23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1A8786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771F6EB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BE6586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Activități de cercetare și educație cu impact redus: cercetarea științifică și educația sunt admise doar dacă nu produc perturbări semnificative, fiind impuse reguli de acces și metode cu impact minim.</w:t>
            </w:r>
          </w:p>
          <w:p w14:paraId="1ED9B0F3" w14:textId="77777777" w:rsidR="008763BF" w:rsidRDefault="008763BF">
            <w:pPr>
              <w:pBdr>
                <w:top w:val="nil"/>
                <w:left w:val="nil"/>
                <w:bottom w:val="nil"/>
                <w:right w:val="nil"/>
                <w:between w:val="nil"/>
              </w:pBdr>
              <w:spacing w:after="0" w:line="240" w:lineRule="auto"/>
              <w:rPr>
                <w:color w:val="000000"/>
                <w:sz w:val="22"/>
                <w:szCs w:val="22"/>
              </w:rPr>
            </w:pPr>
          </w:p>
          <w:p w14:paraId="07F4BC7F"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de management activ pentru ecosistemele de pajiști seminaturale</w:t>
            </w:r>
          </w:p>
          <w:p w14:paraId="52F01AC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6040C29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Menținerea pe termen lung a funcțiilor ecosistemelor de pajiști seminaturale prin menținerea habitatelor deschise și a diversității floristice și faunistice, utilizând un management </w:t>
              <w:lastRenderedPageBreak/>
              <w:t>extensiv adaptat condițiilor locale, care evită atât abandonul, cât și intensificarea utilizării.</w:t>
            </w:r>
          </w:p>
          <w:p w14:paraId="2F765428"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69873D9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Menținerea suprafețelor de pajiști și prevenirea abandonului sau conversiei către alte categorii de folosință.</w:t>
            </w:r>
          </w:p>
          <w:p w14:paraId="04520F5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Menținerea unei structuri mozaicate favorabile biodiversității.</w:t>
            </w:r>
          </w:p>
          <w:p w14:paraId="5B23356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Evitarea degradării habitatelor prin suprapășunat, subpășunat, compactarea solului și eroziune.</w:t>
            </w:r>
          </w:p>
          <w:p w14:paraId="70C47E1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Limitarea utilizării substanțelor chimice și prevenirea eutrofizării habitatelor.</w:t>
            </w:r>
          </w:p>
          <w:p w14:paraId="3D272C9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Controlul speciilor invazive și limitarea instalării vegetației lemnoase.</w:t>
            </w:r>
          </w:p>
          <w:p w14:paraId="22E6D26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utilizării habitatelor și adaptarea managementului în funcție de rezultate.</w:t>
            </w:r>
          </w:p>
          <w:p w14:paraId="0C22BE0B"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2BE172C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2FE154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68828FA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În zonele montane și premontane, prima cosire se realizează numai după formarea semințelor la speciile de interes conservativ.</w:t>
            </w:r>
          </w:p>
          <w:p w14:paraId="73CE754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4. Cosirea se realizează astfel încât să permită retragerea faunei, menținându-se anual suprafețe-refugiu necosite temporar.</w:t>
            </w:r>
          </w:p>
          <w:p w14:paraId="527613B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5. În zonele sensibile lucrările de cosit se realizează cu metode prin care se evită compactarea solului și degradarea microreliefului.</w:t>
            </w:r>
          </w:p>
          <w:p w14:paraId="16DE1A3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Pășunatul se realizează exclusiv în regim controlat și extensiv, cu adaptarea încărcăturii animale și a perioadelor de utilizare la capacitatea de suport a habitatului și la obiectivele de conservare.</w:t>
            </w:r>
          </w:p>
          <w:p w14:paraId="619F4F5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7. Începerea pășunatului se realizează numai după instalarea creșterii active a vegetației și după retragerea excesului de umiditate din sol, pentru evitarea degradării covorului vegetal și a compactării solului.</w:t>
            </w:r>
          </w:p>
          <w:p w14:paraId="37B3CDB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8. Pășunatul se întrerupe astfel încât vegetația să dispună de timp suficient pentru refacerea masei vegetative și acumularea rezervelor înaintea sezonului rece.</w:t>
            </w:r>
          </w:p>
          <w:p w14:paraId="07E8C5A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9. Se evită atât suprapășunatul, cât și subpășunatul, precum și concentrarea excesivă a animalelor în zone sensibile ale habitatului.</w:t>
            </w:r>
          </w:p>
          <w:p w14:paraId="07F319B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10. Utilizarea fertilizanților chimici și a pesticidelor se realizează în conformitate cu legislația națională în domeniu. Aratul și supraînsămânțarea cu specii alohtone sunt interzise.</w:t>
            </w:r>
          </w:p>
          <w:p w14:paraId="142D7179"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11. Este recomandată fertilizarea organică tradițională, în cantități moderate și compatibile cu menținerea diversității floristice și a structurii habitatului.</w:t>
            </w:r>
          </w:p>
          <w:p w14:paraId="2E66DE1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12. Târlitul se realizează controlat și cu schimbarea periodică a amplasamentelor, evitându-se apariția suprafețelor nitrofile și degradarea habitatului.</w:t>
            </w:r>
          </w:p>
          <w:p w14:paraId="3B62D57F"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13. Vegetația lemnoasă invadantă se îndepărtează selectiv și periodic, menținându-se elementele cu rol ecologic, antierozional sau de refugiu pentru specii.</w:t>
            </w:r>
          </w:p>
          <w:p w14:paraId="59A54B5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14. Speciile invazive se monitorizează și se controlează prin metode mecanice și măsuri cu impact redus asupra habitatelor naturale.</w:t>
            </w:r>
          </w:p>
          <w:p w14:paraId="3549340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15. În zonele afectate de degradări locale ale microreliefului se pot aplica măsuri cu impact redus pentru corectarea acestora și refacerea covorului vegetal cu specii caracteristice habitatului.</w:t>
            </w:r>
          </w:p>
          <w:p w14:paraId="545D08E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16. Se mențin structurile de habitat favorabile biodiversității, inclusiv tufărișurile dispersate, arborii izolați, gardurile vii și zonele de ecoton.</w:t>
            </w:r>
          </w:p>
          <w:p w14:paraId="102BF13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17. Activitățile turistice și recreative se desfășoară fără afectarea habitatelor și a speciilor de interes conservativ.</w:t>
            </w:r>
          </w:p>
          <w:p w14:paraId="00D0CC2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18. Se monitorizează periodic starea habitatelor, utilizarea terenurilor, prezența speciilor invazive și efectele managementului, iar măsurile de conservare se adaptează în funcție de rezultatele monitorizării.</w:t>
            </w:r>
          </w:p>
          <w:p w14:paraId="6533D3F8" w14:textId="77777777" w:rsidR="008763BF" w:rsidRDefault="008763BF">
            <w:pPr>
              <w:pBdr>
                <w:top w:val="nil"/>
                <w:left w:val="nil"/>
                <w:bottom w:val="nil"/>
                <w:right w:val="nil"/>
                <w:between w:val="nil"/>
              </w:pBdr>
              <w:spacing w:after="0" w:line="240" w:lineRule="auto"/>
              <w:rPr>
                <w:color w:val="000000"/>
                <w:sz w:val="22"/>
                <w:szCs w:val="22"/>
              </w:rPr>
            </w:pPr>
          </w:p>
          <w:p w14:paraId="1057C3F7"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și măsuri de management activ pentru ecosistemele acvatice și umede</w:t>
            </w:r>
          </w:p>
          <w:p w14:paraId="120584C5"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78C3293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Refacerea funcționalității ecosistemelor acvatice și umede afectate prin restabilirea conectivității, refacerea dinamicii naturale și controlul presiunilor antropice.</w:t>
            </w:r>
          </w:p>
          <w:p w14:paraId="72113743"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1981F12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Refacerea conectivității longitudinale (eliminarea/atenuarea barierelor) și laterale (refacerea legăturii cu lunca).</w:t>
            </w:r>
          </w:p>
          <w:p w14:paraId="290D9A6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Restaurarea dinamicii naturale a cursurilor de apă (variabilitate debite, mobilitate albie).</w:t>
            </w:r>
          </w:p>
          <w:p w14:paraId="09E9E3A0"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Refacerea zonelor umede deconectate și a habitatelor asociate.</w:t>
            </w:r>
          </w:p>
          <w:p w14:paraId="6CCE220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Controlul speciilor invazive acvatice și ripariene.</w:t>
            </w:r>
          </w:p>
          <w:p w14:paraId="3AFD3E0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Reducerea poluării și a presiunilor difuze din bazinul hidrografic.</w:t>
            </w:r>
          </w:p>
          <w:p w14:paraId="2040EB8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efectelor restaurării.</w:t>
            </w:r>
          </w:p>
          <w:p w14:paraId="75979BB6"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543D8BE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Barierele transversale (praguri, baraje fără funcție) se elimină sau se echipează cu treceri pentru pești, pentru refacerea conectivității longitudinale.</w:t>
            </w:r>
          </w:p>
          <w:p w14:paraId="582C0CD4"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Conectivitatea laterală cu lunca se reface prin breșe controlate în diguri, refacerea zonelor inundabile și a brațelor moarte deconectate.</w:t>
            </w:r>
          </w:p>
          <w:p w14:paraId="2CF515E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Speciile invazive acvatice și semiacvatice se identifică și se controlează prin metode mecanice și biologice cu impact redus.</w:t>
            </w:r>
          </w:p>
          <w:p w14:paraId="5156268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Sursele de poluare punctuale se elimină sau se reduc; pentru poluarea difuză se promovează benzi tampon ripariene.</w:t>
            </w:r>
          </w:p>
          <w:p w14:paraId="7111845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5. Exploatările de materiale din albie se interzic în interiorul ZPB; depozitările și deșeurile se elimină.</w:t>
            </w:r>
          </w:p>
          <w:p w14:paraId="480F531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Se monitorizează parametrii hidrologici, calitatea apei, conectivitatea, speciile indicator și efectele restaurării, ajustând adaptiv măsurile.</w:t>
            </w:r>
          </w:p>
          <w:p w14:paraId="0EF2ECC7" w14:textId="77777777" w:rsidR="008763BF" w:rsidRDefault="008763BF">
            <w:pPr>
              <w:pBdr>
                <w:top w:val="nil"/>
                <w:left w:val="nil"/>
                <w:bottom w:val="nil"/>
                <w:right w:val="nil"/>
                <w:between w:val="nil"/>
              </w:pBdr>
              <w:spacing w:after="0" w:line="240" w:lineRule="auto"/>
              <w:rPr>
                <w:color w:val="000000"/>
                <w:sz w:val="22"/>
                <w:szCs w:val="22"/>
              </w:rPr>
            </w:pPr>
          </w:p>
          <w:p w14:paraId="18723ED9" w14:textId="77777777" w:rsidR="008763BF" w:rsidRDefault="00000000">
            <w:pPr>
              <w:pBdr>
                <w:top w:val="nil"/>
                <w:left w:val="nil"/>
                <w:bottom w:val="nil"/>
                <w:right w:val="nil"/>
                <w:between w:val="nil"/>
              </w:pBdr>
              <w:jc w:val="both"/>
              <w:rPr>
                <w:b/>
                <w:bCs/>
                <w:color w:val="000000"/>
                <w:sz w:val="22"/>
                <w:szCs w:val="22"/>
              </w:rPr>
            </w:pPr>
            <w:r>
              <w:rPr>
                <w:b/>
                <w:bCs/>
                <w:color w:val="000000"/>
                <w:sz w:val="22"/>
                <w:szCs w:val="22"/>
              </w:rPr>
              <w:t>Obiective și măsuri în regim de de management activ pentru Habitatul 2340</w:t>
            </w:r>
          </w:p>
          <w:p w14:paraId="71E1D947"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Obiectiv general de conservare</w:t>
            </w:r>
          </w:p>
          <w:p w14:paraId="00597FD1" w14:textId="77777777" w:rsidR="008763BF" w:rsidRDefault="00000000">
            <w:pPr>
              <w:pBdr>
                <w:top w:val="nil"/>
                <w:left w:val="nil"/>
                <w:bottom w:val="nil"/>
                <w:right w:val="nil"/>
                <w:between w:val="nil"/>
              </w:pBdr>
              <w:ind w:firstLine="62"/>
              <w:jc w:val="both"/>
              <w:rPr>
                <w:color w:val="000000"/>
                <w:sz w:val="22"/>
                <w:szCs w:val="22"/>
              </w:rPr>
            </w:pPr>
            <w:r>
              <w:rPr>
                <w:color w:val="000000"/>
                <w:sz w:val="22"/>
                <w:szCs w:val="22"/>
              </w:rPr>
              <w:t>Menținerea și refacerea suprafețelor de pajiști psamofile pioniere specifice dunelor continentale prin reactivarea controlată a micro-dinamicii eoliene a nisipurilor și eliminarea presiunii de împădurire artificială.</w:t>
            </w:r>
          </w:p>
          <w:p w14:paraId="048934B2"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Obiective specifice:</w:t>
            </w:r>
          </w:p>
          <w:p w14:paraId="1EB733E2"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Eradicarea completă a arboretelor de salcâm (Robinia pseudoacacia) care fragmentează și modifică chimismul dunelor.</w:t>
            </w:r>
          </w:p>
          <w:p w14:paraId="754E352F"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Prevenirea instalării vegetației ruderale și menținerea acoperirii optime cu mușchi, licheni și ierburi acidofile pioniere (Corynephorus canescens).</w:t>
            </w:r>
          </w:p>
          <w:p w14:paraId="545B3C0E"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Controlul impactului turistic și recreativ (în special utilizarea vehiculelor off-road și ATV-urilor).</w:t>
            </w:r>
          </w:p>
          <w:p w14:paraId="4B1BBD93" w14:textId="77777777" w:rsidR="008763BF" w:rsidRDefault="00000000">
            <w:pPr>
              <w:numPr>
                <w:ilvl w:val="0"/>
                <w:numId w:val="1"/>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Reglementarea unui regim de pășunat sustenabil, adaptat capacității de suport extrem de reduse a solurilor nisipoase.</w:t>
            </w:r>
          </w:p>
          <w:p w14:paraId="02449E1A" w14:textId="77777777" w:rsidR="008763BF" w:rsidRDefault="00000000">
            <w:pPr>
              <w:numPr>
                <w:ilvl w:val="0"/>
                <w:numId w:val="1"/>
              </w:numPr>
              <w:pBdr>
                <w:top w:val="nil"/>
                <w:left w:val="nil"/>
                <w:bottom w:val="nil"/>
                <w:right w:val="nil"/>
                <w:between w:val="nil"/>
              </w:pBdr>
              <w:spacing w:line="276" w:lineRule="auto"/>
              <w:ind w:left="0" w:firstLine="62"/>
              <w:jc w:val="both"/>
              <w:rPr>
                <w:color w:val="000000"/>
                <w:sz w:val="22"/>
                <w:szCs w:val="22"/>
              </w:rPr>
            </w:pPr>
            <w:r>
              <w:rPr>
                <w:color w:val="000000"/>
                <w:sz w:val="22"/>
                <w:szCs w:val="22"/>
              </w:rPr>
              <w:t>Monitorizarea mobilității dunelor și a ratei de colonizare cu specii alohtone.</w:t>
            </w:r>
          </w:p>
          <w:p w14:paraId="1D71FBED" w14:textId="77777777" w:rsidR="008763BF" w:rsidRDefault="00000000">
            <w:pPr>
              <w:pBdr>
                <w:top w:val="nil"/>
                <w:left w:val="nil"/>
                <w:bottom w:val="nil"/>
                <w:right w:val="nil"/>
                <w:between w:val="nil"/>
              </w:pBdr>
              <w:ind w:firstLine="62"/>
              <w:jc w:val="both"/>
              <w:rPr>
                <w:b/>
                <w:bCs/>
                <w:color w:val="000000"/>
                <w:sz w:val="22"/>
                <w:szCs w:val="22"/>
              </w:rPr>
            </w:pPr>
            <w:r>
              <w:rPr>
                <w:b/>
                <w:bCs/>
                <w:color w:val="000000"/>
                <w:sz w:val="22"/>
                <w:szCs w:val="22"/>
              </w:rPr>
              <w:t>Măsuri de conservare:</w:t>
            </w:r>
          </w:p>
          <w:p w14:paraId="38DA7A95"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Tăierea rasă a plantațiilor de salcâm de pe crestele dunelor în interiorul ariei protejate, urmată de scoaterea integrală a cioatelor și decopertarea stratului de frunzar acumulat (care îmbogățește artificial solul cu azot).</w:t>
            </w:r>
          </w:p>
          <w:p w14:paraId="309D7B8C"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Tratarea mecanică a zonelor fixate excesiv (scarificare ușoară sau perturbare manuală a solului pe suprafețe mici) pentru a reexpune nisipul fin la acțiunea vântului și a stimula instalarea speciilor pioniere.</w:t>
            </w:r>
          </w:p>
          <w:p w14:paraId="24998666"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Interzicerea totală a accesului cu orice tip de vehicul motorizat (ATV, motocross, 4x4) pe crestele și versanții dunelor, cu excepția utilajelor autorizate pentru management.</w:t>
            </w:r>
          </w:p>
          <w:p w14:paraId="30C5B70B" w14:textId="77777777" w:rsidR="008763BF" w:rsidRDefault="00000000">
            <w:pPr>
              <w:numPr>
                <w:ilvl w:val="0"/>
                <w:numId w:val="2"/>
              </w:numPr>
              <w:pBdr>
                <w:top w:val="nil"/>
                <w:left w:val="nil"/>
                <w:bottom w:val="nil"/>
                <w:right w:val="nil"/>
                <w:between w:val="nil"/>
              </w:pBdr>
              <w:spacing w:after="0" w:line="276" w:lineRule="auto"/>
              <w:ind w:left="0" w:firstLine="62"/>
              <w:jc w:val="both"/>
              <w:rPr>
                <w:color w:val="000000"/>
                <w:sz w:val="22"/>
                <w:szCs w:val="22"/>
              </w:rPr>
            </w:pPr>
            <w:r>
              <w:rPr>
                <w:color w:val="000000"/>
                <w:sz w:val="22"/>
                <w:szCs w:val="22"/>
              </w:rPr>
              <w:t>Permiterea pășunatului exclusiv cu ovine, cu o încărcătură foarte redusă (maximum 0.2 UVM/ha/an), strict la sfârșitul verii (după diseminarea speciilor de Corynephorus), având rolul de a sparge crusta compactă de mușchi bătrâni fără a distruge structura dunei.</w:t>
            </w:r>
          </w:p>
          <w:p w14:paraId="2C0BFF7B" w14:textId="77777777" w:rsidR="008763BF" w:rsidRDefault="00000000">
            <w:pPr>
              <w:numPr>
                <w:ilvl w:val="0"/>
                <w:numId w:val="2"/>
              </w:numPr>
              <w:pBdr>
                <w:top w:val="nil"/>
                <w:left w:val="nil"/>
                <w:bottom w:val="nil"/>
                <w:right w:val="nil"/>
                <w:between w:val="nil"/>
              </w:pBdr>
              <w:spacing w:line="276" w:lineRule="auto"/>
              <w:ind w:left="0" w:firstLine="62"/>
              <w:jc w:val="both"/>
              <w:rPr>
                <w:color w:val="000000"/>
                <w:sz w:val="22"/>
                <w:szCs w:val="22"/>
              </w:rPr>
            </w:pPr>
            <w:r>
              <w:rPr>
                <w:color w:val="000000"/>
                <w:sz w:val="22"/>
                <w:szCs w:val="22"/>
              </w:rPr>
              <w:lastRenderedPageBreak/>
              <w:t>Monitorizarea fixării și mobilității substratului prin profile topografice repetate și monitorizarea stării comunităților de licheni (Cladonia sp.) ca indicatori ai maturității habitatului.</w:t>
            </w:r>
          </w:p>
          <w:p w14:paraId="2C0BFF7B" w14:textId="77777777" w:rsidR="008763BF" w:rsidRDefault="00000000">
            <w:pPr>
              <w:pBdr>
                <w:top w:val="nil"/>
                <w:left w:val="nil"/>
                <w:bottom w:val="nil"/>
                <w:right w:val="nil"/>
                <w:between w:val="nil"/>
              </w:pBdr>
              <w:spacing w:line="276" w:lineRule="auto"/>
              <w:ind w:left="0" w:firstLine="62"/>
              <w:jc w:val="both"/>
              <w:rPr>
                <w:color w:val="000000"/>
                <w:sz w:val="22"/>
                <w:szCs w:val="22"/>
              </w:rPr>
            </w:pPr>
            <w:r>
              <w:rPr>
                <w:color w:val="000000"/>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763BF" w14:paraId="58BC5A49" w14:textId="77777777" w:rsidTr="00E859D9">
        <w:tc>
          <w:tcPr>
            <w:tcW w:w="2924" w:type="dxa"/>
            <w:tcBorders>
              <w:top w:val="single" w:sz="6" w:space="0" w:color="000000"/>
              <w:left w:val="single" w:sz="6" w:space="0" w:color="000000"/>
              <w:bottom w:val="single" w:sz="6" w:space="0" w:color="000000"/>
              <w:right w:val="single" w:sz="6" w:space="0" w:color="000000"/>
            </w:tcBorders>
          </w:tcPr>
          <w:p w14:paraId="4C24221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Tipul de proprietate</w:t>
            </w:r>
          </w:p>
        </w:tc>
        <w:tc>
          <w:tcPr>
            <w:tcW w:w="6040" w:type="dxa"/>
            <w:tcBorders>
              <w:top w:val="single" w:sz="6" w:space="0" w:color="000000"/>
              <w:left w:val="single" w:sz="6" w:space="0" w:color="000000"/>
              <w:bottom w:val="single" w:sz="6" w:space="0" w:color="000000"/>
              <w:right w:val="single" w:sz="6" w:space="0" w:color="000000"/>
            </w:tcBorders>
          </w:tcPr>
          <w:p w14:paraId="213DBE5B"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Publică</w:t>
            </w:r>
          </w:p>
        </w:tc>
      </w:tr>
    </w:tbl>
    <w:p w14:paraId="081FAC32"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 Zona Prioritară pentru Biodiversitate nr. 2</w:t>
      </w:r>
    </w:p>
    <w:p w14:paraId="421DBC7A"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3.2.2.1. Cod Zona Prioritară pentru Biodiversitate nr. 2</w:t>
      </w:r>
    </w:p>
    <w:p w14:paraId="09D464A6"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ZPB 2</w:t>
      </w:r>
    </w:p>
    <w:p w14:paraId="3425DCFE" w14:textId="77777777" w:rsidR="008763BF" w:rsidRDefault="00000000">
      <w:pPr>
        <w:pBdr>
          <w:top w:val="nil"/>
          <w:left w:val="nil"/>
          <w:bottom w:val="nil"/>
          <w:right w:val="nil"/>
          <w:between w:val="nil"/>
        </w:pBdr>
        <w:spacing w:before="240" w:after="80" w:line="300" w:lineRule="auto"/>
        <w:rPr>
          <w:b/>
          <w:bCs/>
          <w:color w:val="000000"/>
          <w:sz w:val="22"/>
          <w:szCs w:val="22"/>
        </w:rPr>
      </w:pPr>
      <w:r>
        <w:rPr>
          <w:b/>
          <w:bCs/>
          <w:color w:val="000000"/>
          <w:sz w:val="22"/>
          <w:szCs w:val="22"/>
        </w:rPr>
        <w:t>3.2.2.2.  Detalii privind Zona Prioritară pentru Biodiversitate nr. 2</w:t>
      </w:r>
    </w:p>
    <w:p w14:paraId="2B9BC7F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Suprafața totală a ZPB  (ha)</w:t>
      </w:r>
    </w:p>
    <w:p w14:paraId="1252A0A7" w14:textId="77777777" w:rsidR="008763BF" w:rsidRDefault="00000000">
      <w:pPr>
        <w:pBdr>
          <w:top w:val="single" w:sz="6" w:space="0" w:color="000000"/>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t xml:space="preserve">349,14</w:t>
      </w:r>
    </w:p>
    <w:p w14:paraId="06E9E550"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 xml:space="preserve">Documente relevante în raport cu ZPB </w:t>
      </w:r>
    </w:p>
    <w:p w14:paraId="560EDBD8" w14:textId="77777777" w:rsidR="008763BF" w:rsidRDefault="00000000">
      <w:pPr>
        <w:pBdr>
          <w:top w:val="single" w:sz="6" w:space="0" w:color="000000"/>
          <w:left w:val="single" w:sz="6" w:space="0" w:color="000000"/>
          <w:bottom w:val="nil"/>
          <w:right w:val="single" w:sz="6" w:space="0" w:color="000000"/>
          <w:between w:val="nil"/>
        </w:pBdr>
        <w:spacing w:after="0" w:line="300"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1314C6A3"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F15148A" w14:textId="77777777" w:rsidR="008763BF" w:rsidRDefault="00000000">
      <w:pPr>
        <w:pBdr>
          <w:top w:val="nil"/>
          <w:left w:val="single" w:sz="6" w:space="0" w:color="000000"/>
          <w:bottom w:val="single" w:sz="6" w:space="0" w:color="000000"/>
          <w:right w:val="single" w:sz="6" w:space="0" w:color="000000"/>
          <w:between w:val="nil"/>
        </w:pBdr>
        <w:spacing w:after="0" w:line="300" w:lineRule="auto"/>
        <w:jc w:val="both"/>
        <w:rPr>
          <w:color w:val="000000"/>
          <w:sz w:val="22"/>
          <w:szCs w:val="22"/>
        </w:rPr>
      </w:pPr>
      <w:r>
        <w:rPr>
          <w:color w:val="000000"/>
          <w:sz w:val="22"/>
          <w:szCs w:val="22"/>
        </w:rPr>
        <w:t>Ordinul ministrului mediului, apelor și pădurilor nr. 3221/19.12.2023 privind aprobarea Planului de management al sitului Natura 2000 ROSCI0020 Câmpia Careiului.</w:t>
      </w:r>
    </w:p>
    <w:p w14:paraId="06C1A3E4" w14:textId="77777777" w:rsidR="008763BF" w:rsidRDefault="00000000">
      <w:pPr>
        <w:pBdr>
          <w:top w:val="nil"/>
          <w:left w:val="nil"/>
          <w:bottom w:val="nil"/>
          <w:right w:val="nil"/>
          <w:between w:val="nil"/>
        </w:pBdr>
        <w:spacing w:before="160" w:after="0" w:line="300" w:lineRule="auto"/>
        <w:rPr>
          <w:color w:val="000000"/>
          <w:sz w:val="22"/>
          <w:szCs w:val="22"/>
        </w:rPr>
      </w:pPr>
      <w:r>
        <w:rPr>
          <w:color w:val="000000"/>
          <w:sz w:val="22"/>
          <w:szCs w:val="22"/>
        </w:rPr>
        <w:t>Informația ecologică</w:t>
      </w:r>
    </w:p>
    <w:tbl>
      <w:tblPr>
        <w:tblStyle w:val="a7"/>
        <w:tblW w:w="8964" w:type="dxa"/>
        <w:tblInd w:w="-97" w:type="dxa"/>
        <w:tblLayout w:type="fixed"/>
        <w:tblLook w:val="0400" w:firstRow="0" w:lastRow="0" w:firstColumn="0" w:lastColumn="0" w:noHBand="0" w:noVBand="1"/>
      </w:tblPr>
      <w:tblGrid>
        <w:gridCol w:w="2924"/>
        <w:gridCol w:w="6040"/>
      </w:tblGrid>
      <w:tr w:rsidR="008763BF" w14:paraId="451022F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4DB90651" w14:textId="77777777" w:rsidR="008763BF" w:rsidRDefault="00000000">
            <w:pPr>
              <w:pBdr>
                <w:top w:val="nil"/>
                <w:left w:val="nil"/>
                <w:bottom w:val="nil"/>
                <w:right w:val="nil"/>
                <w:between w:val="nil"/>
              </w:pBdr>
              <w:spacing w:after="120" w:line="300" w:lineRule="auto"/>
              <w:rPr>
                <w:b/>
                <w:bCs/>
                <w:color w:val="000000"/>
                <w:sz w:val="22"/>
                <w:szCs w:val="22"/>
              </w:rPr>
            </w:pPr>
            <w:r>
              <w:rPr>
                <w:b/>
                <w:bCs/>
                <w:color w:val="000000"/>
                <w:sz w:val="22"/>
                <w:szCs w:val="22"/>
              </w:rPr>
              <w:t>Informația ecologică</w:t>
            </w:r>
          </w:p>
        </w:tc>
        <w:tc>
          <w:tcPr>
            <w:tcW w:w="6040" w:type="dxa"/>
            <w:tcBorders>
              <w:top w:val="single" w:sz="6" w:space="0" w:color="000000"/>
              <w:left w:val="single" w:sz="6" w:space="0" w:color="000000"/>
              <w:bottom w:val="single" w:sz="6" w:space="0" w:color="000000"/>
              <w:right w:val="single" w:sz="6" w:space="0" w:color="000000"/>
            </w:tcBorders>
          </w:tcPr>
          <w:p w14:paraId="4E343CDF" w14:textId="77777777" w:rsidR="008763BF" w:rsidRDefault="00000000">
            <w:pPr>
              <w:pBdr>
                <w:top w:val="nil"/>
                <w:left w:val="nil"/>
                <w:bottom w:val="nil"/>
                <w:right w:val="nil"/>
                <w:between w:val="nil"/>
              </w:pBdr>
              <w:spacing w:after="120" w:line="300" w:lineRule="auto"/>
              <w:rPr>
                <w:b/>
                <w:bCs/>
                <w:color w:val="000000"/>
                <w:sz w:val="22"/>
                <w:szCs w:val="22"/>
              </w:rPr>
            </w:pPr>
            <w:r>
              <w:rPr>
                <w:b/>
                <w:bCs/>
                <w:color w:val="000000"/>
                <w:sz w:val="22"/>
                <w:szCs w:val="22"/>
              </w:rPr>
              <w:t>Descriere</w:t>
            </w:r>
          </w:p>
        </w:tc>
      </w:tr>
      <w:tr w:rsidR="008763BF" w14:paraId="27852691"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171AED93"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Habitate de interes comunitar sau de interes național</w:t>
            </w:r>
          </w:p>
        </w:tc>
        <w:tc>
          <w:tcPr>
            <w:tcW w:w="6040" w:type="dxa"/>
            <w:tcBorders>
              <w:top w:val="single" w:sz="6" w:space="0" w:color="000000"/>
              <w:left w:val="single" w:sz="6" w:space="0" w:color="000000"/>
              <w:bottom w:val="single" w:sz="6" w:space="0" w:color="000000"/>
              <w:right w:val="single" w:sz="6" w:space="0" w:color="000000"/>
            </w:tcBorders>
          </w:tcPr>
          <w:p w14:paraId="7F18D393" w14:textId="77777777" w:rsidR="008763BF" w:rsidRDefault="00000000">
            <w:pPr>
              <w:pBdr>
                <w:top w:val="nil"/>
                <w:left w:val="nil"/>
                <w:bottom w:val="nil"/>
                <w:right w:val="nil"/>
                <w:between w:val="nil"/>
              </w:pBdr>
              <w:spacing w:after="0" w:line="300" w:lineRule="auto"/>
              <w:jc w:val="both"/>
              <w:rPr>
                <w:b/>
                <w:bCs/>
                <w:color w:val="000000"/>
                <w:sz w:val="22"/>
                <w:szCs w:val="22"/>
              </w:rPr>
            </w:pPr>
            <w:r>
              <w:rPr>
                <w:b/>
                <w:bCs/>
                <w:i/>
                <w:iCs/>
                <w:color w:val="000000"/>
                <w:sz w:val="22"/>
                <w:szCs w:val="22"/>
              </w:rPr>
              <w:t>Habitate de păduri temperate europene:</w:t>
            </w:r>
          </w:p>
          <w:p w14:paraId="7679B0ED" w14:textId="77777777" w:rsidR="008763BF" w:rsidRDefault="00000000">
            <w:pPr>
              <w:pBdr>
                <w:top w:val="nil"/>
                <w:left w:val="nil"/>
                <w:bottom w:val="nil"/>
                <w:right w:val="nil"/>
                <w:between w:val="nil"/>
              </w:pBdr>
              <w:spacing w:after="0" w:line="300" w:lineRule="auto"/>
              <w:jc w:val="both"/>
              <w:rPr>
                <w:color w:val="000000"/>
                <w:sz w:val="22"/>
                <w:szCs w:val="22"/>
              </w:rPr>
            </w:pPr>
            <w:r>
              <w:rPr>
                <w:i/>
                <w:iCs/>
                <w:color w:val="000000"/>
                <w:sz w:val="22"/>
                <w:szCs w:val="22"/>
              </w:rPr>
              <w:t>91F0 - Păduri ripariene mixte cu Quercus robur, Ulmus laevis, Fraxinus excelsior sau Fraxinus angustifolia, din lungul marilor râuri Ulmenion minaris</w:t>
            </w:r>
          </w:p>
          <w:p w14:paraId="35855E1F" w14:textId="77777777" w:rsidR="008763BF" w:rsidRDefault="00000000">
            <w:pPr>
              <w:pBdr>
                <w:top w:val="nil"/>
                <w:left w:val="nil"/>
                <w:bottom w:val="nil"/>
                <w:right w:val="nil"/>
                <w:between w:val="nil"/>
              </w:pBdr>
              <w:spacing w:after="0" w:line="300" w:lineRule="auto"/>
              <w:jc w:val="both"/>
              <w:rPr>
                <w:color w:val="000000"/>
                <w:sz w:val="22"/>
                <w:szCs w:val="22"/>
              </w:rPr>
            </w:pPr>
            <w:r>
              <w:rPr>
                <w:i/>
                <w:iCs/>
                <w:color w:val="000000"/>
                <w:sz w:val="22"/>
                <w:szCs w:val="22"/>
              </w:rPr>
              <w:t>91I0* - Vegetație de silvostepă eurosiberiană cu Quercus spp</w:t>
            </w:r>
          </w:p>
          <w:p w14:paraId="5878A600" w14:textId="77777777" w:rsidR="008763BF" w:rsidRDefault="008763BF">
            <w:pPr>
              <w:pBdr>
                <w:top w:val="nil"/>
                <w:left w:val="nil"/>
                <w:bottom w:val="nil"/>
                <w:right w:val="nil"/>
                <w:between w:val="nil"/>
              </w:pBdr>
              <w:spacing w:after="0" w:line="300" w:lineRule="auto"/>
              <w:jc w:val="both"/>
              <w:rPr>
                <w:color w:val="000000"/>
                <w:sz w:val="22"/>
                <w:szCs w:val="22"/>
              </w:rPr>
            </w:pPr>
          </w:p>
        </w:tc>
      </w:tr>
      <w:tr w:rsidR="008763BF" w14:paraId="66B8C868"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3A2556F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Specii</w:t>
            </w:r>
          </w:p>
        </w:tc>
        <w:tc>
          <w:tcPr>
            <w:tcW w:w="6040" w:type="dxa"/>
            <w:tcBorders>
              <w:top w:val="single" w:sz="6" w:space="0" w:color="000000"/>
              <w:left w:val="single" w:sz="6" w:space="0" w:color="000000"/>
              <w:bottom w:val="single" w:sz="6" w:space="0" w:color="000000"/>
              <w:right w:val="single" w:sz="6" w:space="0" w:color="000000"/>
            </w:tcBorders>
          </w:tcPr>
          <w:p w14:paraId="4586878B" w14:textId="77777777" w:rsidR="008763BF" w:rsidRDefault="00000000">
            <w:pPr>
              <w:pBdr>
                <w:top w:val="nil"/>
                <w:left w:val="nil"/>
                <w:bottom w:val="nil"/>
                <w:right w:val="nil"/>
                <w:between w:val="nil"/>
              </w:pBdr>
              <w:spacing w:after="0" w:line="300" w:lineRule="auto"/>
              <w:rPr>
                <w:b/>
                <w:bCs/>
                <w:i/>
                <w:iCs/>
                <w:color w:val="000000"/>
                <w:sz w:val="22"/>
                <w:szCs w:val="22"/>
              </w:rPr>
            </w:pPr>
            <w:r>
              <w:rPr>
                <w:b/>
                <w:bCs/>
                <w:i/>
                <w:iCs/>
                <w:color w:val="000000"/>
                <w:sz w:val="22"/>
                <w:szCs w:val="22"/>
              </w:rPr>
              <w:t>Nevertebrate:</w:t>
            </w:r>
          </w:p>
          <w:p w14:paraId="550AA75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1088 Cerambyx cerdo</w:t>
            </w:r>
          </w:p>
          <w:p w14:paraId="14C308F5"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1083 Lucanus cervus</w:t>
            </w:r>
          </w:p>
          <w:p w14:paraId="193B49A4" w14:textId="77777777" w:rsidR="008763BF" w:rsidRDefault="00000000">
            <w:pPr>
              <w:pBdr>
                <w:top w:val="nil"/>
                <w:left w:val="nil"/>
                <w:bottom w:val="nil"/>
                <w:right w:val="nil"/>
                <w:between w:val="nil"/>
              </w:pBdr>
              <w:spacing w:after="0" w:line="300" w:lineRule="auto"/>
              <w:rPr>
                <w:b/>
                <w:bCs/>
                <w:color w:val="000000"/>
                <w:sz w:val="22"/>
                <w:szCs w:val="22"/>
              </w:rPr>
            </w:pPr>
            <w:r>
              <w:rPr>
                <w:b/>
                <w:bCs/>
                <w:color w:val="000000"/>
                <w:sz w:val="22"/>
                <w:szCs w:val="22"/>
              </w:rPr>
              <w:t>Păsări:</w:t>
            </w:r>
          </w:p>
          <w:p w14:paraId="1284D99E"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A231 Coracias garrulus</w:t>
            </w:r>
          </w:p>
          <w:p w14:paraId="0D9D4F5A"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A238 Dendrocopos medius</w:t>
            </w:r>
          </w:p>
          <w:p w14:paraId="66F9F81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A429 Dendrocopos syriacus</w:t>
            </w:r>
          </w:p>
          <w:p w14:paraId="1EAEDC94"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A236 Dryocopus martius</w:t>
            </w:r>
          </w:p>
          <w:p w14:paraId="3550CDE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A099 Falco subbuteo</w:t>
            </w:r>
          </w:p>
          <w:p w14:paraId="77F87407"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A097 Falco vespertinus</w:t>
            </w:r>
          </w:p>
          <w:p w14:paraId="11883193"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lastRenderedPageBreak/>
              <w:t>A338 Lanius collurio</w:t>
            </w:r>
          </w:p>
          <w:p w14:paraId="30E27FC9"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A339 Lanius minor</w:t>
            </w:r>
          </w:p>
          <w:p w14:paraId="7C4D2260"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A214 Otus scops</w:t>
            </w:r>
          </w:p>
          <w:p w14:paraId="362CAD58"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A072 Pernis apivorus</w:t>
            </w:r>
          </w:p>
          <w:p w14:paraId="6B02D52B" w14:textId="77777777" w:rsidR="008763BF" w:rsidRDefault="00000000">
            <w:pPr>
              <w:pBdr>
                <w:top w:val="nil"/>
                <w:left w:val="nil"/>
                <w:bottom w:val="nil"/>
                <w:right w:val="nil"/>
                <w:between w:val="nil"/>
              </w:pBdr>
              <w:spacing w:after="0" w:line="300" w:lineRule="auto"/>
              <w:rPr>
                <w:i/>
                <w:iCs/>
                <w:color w:val="000000"/>
                <w:sz w:val="22"/>
                <w:szCs w:val="22"/>
              </w:rPr>
            </w:pPr>
            <w:r>
              <w:rPr>
                <w:i/>
                <w:iCs/>
                <w:color w:val="000000"/>
                <w:sz w:val="22"/>
                <w:szCs w:val="22"/>
              </w:rPr>
              <w:t>A234 Picus canus</w:t>
            </w:r>
          </w:p>
        </w:tc>
      </w:tr>
      <w:tr w:rsidR="008763BF" w14:paraId="1EB47499"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59ED2C4D"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Valoarea ecologică</w:t>
            </w:r>
          </w:p>
        </w:tc>
        <w:tc>
          <w:tcPr>
            <w:tcW w:w="6040" w:type="dxa"/>
            <w:tcBorders>
              <w:top w:val="single" w:sz="6" w:space="0" w:color="000000"/>
              <w:left w:val="single" w:sz="6" w:space="0" w:color="000000"/>
              <w:bottom w:val="single" w:sz="6" w:space="0" w:color="000000"/>
              <w:right w:val="single" w:sz="6" w:space="0" w:color="000000"/>
            </w:tcBorders>
          </w:tcPr>
          <w:p w14:paraId="7AC95CBD" w14:textId="77777777" w:rsidR="008763B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9F7A58A" w14:textId="77777777" w:rsidR="008763B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C9661BE" w14:textId="77777777" w:rsidR="008763BF" w:rsidRDefault="00000000">
            <w:pPr>
              <w:jc w:val="both"/>
            </w:pPr>
            <w:r>
              <w:rPr>
                <w:sz w:val="22"/>
                <w:szCs w:val="22"/>
              </w:rPr>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4030A238" w14:textId="77777777" w:rsidR="008763BF"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24CC2346" w14:textId="77777777" w:rsidR="008763BF" w:rsidRDefault="00000000">
            <w:pPr>
              <w:jc w:val="both"/>
            </w:pPr>
            <w:r>
              <w:rPr>
                <w:sz w:val="22"/>
                <w:szCs w:val="22"/>
              </w:rPr>
              <w:t>Zona include habitate caracterizate prin dinamism natural ridicat și condiții ecologice specifice, care susțin comunități biologice adaptate unor factori de mediu restrictivi și contribuie la menținerea diversității ecosistemelor costiere și continentale.</w:t>
            </w:r>
          </w:p>
          <w:p w14:paraId="4672019B" w14:textId="77777777" w:rsidR="008763BF" w:rsidRDefault="00000000">
            <w:pPr>
              <w:jc w:val="both"/>
            </w:pPr>
            <w:r>
              <w:rPr>
                <w:sz w:val="22"/>
                <w:szCs w:val="22"/>
              </w:rPr>
              <w:t>Desemnarea are la bază valoarea ecologică ridicată a habitatelor și speciilor de interes conservativ asociate ecosistemelor forestiere.</w:t>
            </w:r>
          </w:p>
        </w:tc>
      </w:tr>
      <w:tr w:rsidR="008763BF" w14:paraId="0A218AA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0BE9CA88"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Presiuni semnificative</w:t>
            </w:r>
          </w:p>
        </w:tc>
        <w:tc>
          <w:tcPr>
            <w:tcW w:w="6040" w:type="dxa"/>
            <w:tcBorders>
              <w:top w:val="single" w:sz="6" w:space="0" w:color="000000"/>
              <w:left w:val="single" w:sz="6" w:space="0" w:color="000000"/>
              <w:bottom w:val="single" w:sz="6" w:space="0" w:color="000000"/>
              <w:right w:val="single" w:sz="6" w:space="0" w:color="000000"/>
            </w:tcBorders>
          </w:tcPr>
          <w:p w14:paraId="230B78AF"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I01 specii invazive non-native (alogene) </w:t>
            </w:r>
          </w:p>
        </w:tc>
      </w:tr>
      <w:tr w:rsidR="008763BF" w14:paraId="6FD63813"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43D1ABB2"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Obiective și măsuri de conservare</w:t>
            </w:r>
          </w:p>
        </w:tc>
        <w:tc>
          <w:tcPr>
            <w:tcW w:w="6040" w:type="dxa"/>
            <w:tcBorders>
              <w:top w:val="single" w:sz="6" w:space="0" w:color="000000"/>
              <w:left w:val="single" w:sz="6" w:space="0" w:color="000000"/>
              <w:bottom w:val="single" w:sz="6" w:space="0" w:color="000000"/>
              <w:right w:val="single" w:sz="6" w:space="0" w:color="000000"/>
            </w:tcBorders>
          </w:tcPr>
          <w:p w14:paraId="5DB4A2E1" w14:textId="77777777" w:rsidR="008763BF" w:rsidRDefault="00000000">
            <w:pPr>
              <w:pBdr>
                <w:top w:val="nil"/>
                <w:left w:val="nil"/>
                <w:bottom w:val="nil"/>
                <w:right w:val="nil"/>
                <w:between w:val="nil"/>
              </w:pBdr>
              <w:spacing w:after="0" w:line="240" w:lineRule="auto"/>
              <w:jc w:val="both"/>
              <w:rPr>
                <w:b/>
                <w:bCs/>
                <w:sz w:val="22"/>
                <w:szCs w:val="22"/>
              </w:rPr>
            </w:pPr>
            <w:r>
              <w:rPr>
                <w:b/>
                <w:bCs/>
                <w:color w:val="000000"/>
                <w:sz w:val="22"/>
                <w:szCs w:val="22"/>
              </w:rPr>
              <w:t xml:space="preserve">Obiective și măsuri în regim de management activ pentru habitatele forestiere </w:t>
            </w:r>
          </w:p>
          <w:p w14:paraId="75D97C0F"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 general de conservare</w:t>
            </w:r>
          </w:p>
          <w:p w14:paraId="337941F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DE5482C"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Obiective specifice:</w:t>
            </w:r>
          </w:p>
          <w:p w14:paraId="700EA1D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Conservarea și ameliorarea biodiversității arboretelor (structură, compoziție, microhabitate).</w:t>
            </w:r>
          </w:p>
          <w:p w14:paraId="7C63977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2. Îmbunătățirea compoziției și structurii arboretelor către o configurație mai apropiată de naturalitate.</w:t>
            </w:r>
          </w:p>
          <w:p w14:paraId="13B75CE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Creșterea stabilității și rezistenței ecosistemelor forestiere la factori vătămători biotici și abiotici.</w:t>
            </w:r>
          </w:p>
          <w:p w14:paraId="7C747A5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Menținerea regenerării naturale și a continuității habitatelor forestiere.</w:t>
            </w:r>
          </w:p>
          <w:p w14:paraId="1B871735"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Reducerea fragmentării habitatelor și limitarea presiunilor antropice.</w:t>
            </w:r>
          </w:p>
          <w:p w14:paraId="2892026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Monitorizarea stării de conservare și aplicarea managementului adaptativ.</w:t>
            </w:r>
          </w:p>
          <w:p w14:paraId="0473F5F4" w14:textId="77777777" w:rsidR="008763BF" w:rsidRDefault="00000000">
            <w:pPr>
              <w:pBdr>
                <w:top w:val="nil"/>
                <w:left w:val="nil"/>
                <w:bottom w:val="nil"/>
                <w:right w:val="nil"/>
                <w:between w:val="nil"/>
              </w:pBdr>
              <w:spacing w:after="0" w:line="240" w:lineRule="auto"/>
              <w:jc w:val="both"/>
              <w:rPr>
                <w:color w:val="000000"/>
                <w:sz w:val="22"/>
                <w:szCs w:val="22"/>
              </w:rPr>
            </w:pPr>
            <w:r>
              <w:rPr>
                <w:b/>
                <w:bCs/>
                <w:color w:val="000000"/>
                <w:sz w:val="22"/>
                <w:szCs w:val="22"/>
              </w:rPr>
              <w:t>Măsuri de conservare:</w:t>
            </w:r>
          </w:p>
          <w:p w14:paraId="6FAF49C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2AD998E"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8E89CA6"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1ECE71C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4. Promovarea nucleelor existente de regenerare naturală din specii valoroase se realizează prin extracții cu intensitate redusă, astfel încât suprafața nucleelor de regenerare să nu depășească 500–600 m².</w:t>
            </w:r>
          </w:p>
          <w:p w14:paraId="70EEF71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5. Sunt permise lucrări de împăduriri, reîmpăduriri și completare a regenerării naturale, utilizând specii autohtone și proveniențe locale adaptate condițiilor staționale.</w:t>
            </w:r>
          </w:p>
          <w:p w14:paraId="1A892DF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1BB5B1C1"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7. Sunt permise lucrări de reconstrucție ecologică în suprafețele afectate de perturbări biotice sau abiotice, urmărindu-se refacerea structurii și funcționalității habitatului forestier.</w:t>
            </w:r>
          </w:p>
          <w:p w14:paraId="2470FC1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D8433C2"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9. Extragerile de arbori urmăresc cu prioritate menținerea valorilor de conservare, reducerea riscurilor pentru siguranța publică și păstrarea integrității și funcționalității ecosistemului forestier.</w:t>
            </w:r>
          </w:p>
          <w:p w14:paraId="73C269CC"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lastRenderedPageBreak/>
              <w:t>10. Refacerea arboretelor afectate se realizează prin regenerare naturală sau, după caz, prin reconstrucție ecologică și regenerare artificială utilizând specii și proveniențe locale mai rezistente la secetă și alte perturbări abiotice.</w:t>
            </w:r>
          </w:p>
          <w:p w14:paraId="0461AC87"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245C6F"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12. Măsurile pentru combaterea dăunătorilor forestieri sau a speciilor invazive se aplică doar atunci când există un risc major documentat pentru valorile de conservare și cu respectarea prevederilor legale aplicabile.</w:t>
            </w:r>
          </w:p>
          <w:p w14:paraId="37FADA4D"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13. Intervențiile utilizează metode și tehnologii cu impact redus asupra solului și habitatelor forestiere și evită perioadele cu umiditate excesivă a solului.</w:t>
            </w:r>
          </w:p>
          <w:p w14:paraId="2D959CDB"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14. Materialul lemnos rezultat incidental din măsurile de conservare sau din intervențiile necesare pentru siguranță publică nu reprezintă un obiectiv economic și nu justifică intensificarea intervențiilor.</w:t>
            </w:r>
          </w:p>
          <w:p w14:paraId="5FAF521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15. Se limitează realizarea de infrastructuri noi și extinderea infrastructurii existente care pot conduce la fragmentarea habitatelor forestiere.</w:t>
            </w:r>
          </w:p>
          <w:p w14:paraId="63EC9EE8"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16. Accesul motorizat se limitează strict la situațiile necesare pentru activitățile de conservare, monitorizare și intervențiile permise conform legislației.</w:t>
            </w:r>
          </w:p>
          <w:p w14:paraId="07991BBA"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17C9623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18. Se monitorizează periodic structura arboretelor, regenerarea naturală, speciile indicator și presiunile antropice, iar măsurile de conservare se adaptează în funcție de rezultatele monitorizării.</w:t>
            </w:r>
          </w:p>
          <w:p w14:paraId="23C8F7C6" w14:textId="77777777" w:rsidR="008763BF" w:rsidRDefault="008763BF">
            <w:pPr>
              <w:pBdr>
                <w:top w:val="nil"/>
                <w:left w:val="nil"/>
                <w:bottom w:val="nil"/>
                <w:right w:val="nil"/>
                <w:between w:val="nil"/>
              </w:pBdr>
              <w:jc w:val="both"/>
              <w:rPr>
                <w:color w:val="000000"/>
              </w:rPr>
            </w:pPr>
          </w:p>
          <w:p w14:paraId="17C96233" w14:textId="77777777" w:rsidR="008763BF"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763BF" w14:paraId="07C6CFAC" w14:textId="77777777" w:rsidTr="00E269DD">
        <w:tc>
          <w:tcPr>
            <w:tcW w:w="2924" w:type="dxa"/>
            <w:tcBorders>
              <w:top w:val="single" w:sz="6" w:space="0" w:color="000000"/>
              <w:left w:val="single" w:sz="6" w:space="0" w:color="000000"/>
              <w:bottom w:val="single" w:sz="6" w:space="0" w:color="000000"/>
              <w:right w:val="single" w:sz="6" w:space="0" w:color="000000"/>
            </w:tcBorders>
          </w:tcPr>
          <w:p w14:paraId="0832263E"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lastRenderedPageBreak/>
              <w:t>Tipul de proprietate</w:t>
            </w:r>
          </w:p>
        </w:tc>
        <w:tc>
          <w:tcPr>
            <w:tcW w:w="6040" w:type="dxa"/>
            <w:tcBorders>
              <w:top w:val="single" w:sz="6" w:space="0" w:color="000000"/>
              <w:left w:val="single" w:sz="6" w:space="0" w:color="000000"/>
              <w:bottom w:val="single" w:sz="6" w:space="0" w:color="000000"/>
              <w:right w:val="single" w:sz="6" w:space="0" w:color="000000"/>
            </w:tcBorders>
          </w:tcPr>
          <w:p w14:paraId="06F1DD63"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Publică </w:t>
            </w:r>
          </w:p>
        </w:tc>
      </w:tr>
    </w:tbl>
    <w:p w14:paraId="7119AF81" w14:textId="77777777" w:rsidR="008763BF" w:rsidRDefault="00000000">
      <w:pPr>
        <w:pBdr>
          <w:top w:val="nil"/>
          <w:left w:val="nil"/>
          <w:bottom w:val="nil"/>
          <w:right w:val="nil"/>
          <w:between w:val="nil"/>
        </w:pBdr>
        <w:spacing w:before="240" w:after="80" w:line="300" w:lineRule="auto"/>
        <w:rPr>
          <w:color w:val="000000"/>
          <w:sz w:val="22"/>
          <w:szCs w:val="22"/>
        </w:rPr>
      </w:pPr>
      <w:r>
        <w:rPr>
          <w:color w:val="000000"/>
          <w:sz w:val="22"/>
          <w:szCs w:val="22"/>
        </w:rPr>
        <w:t xml:space="preserve"> </w:t>
      </w:r>
    </w:p>
    <w:p w14:paraId="016EE6A5" w14:textId="77777777" w:rsidR="008763BF" w:rsidRDefault="00000000">
      <w:pPr>
        <w:pBdr>
          <w:top w:val="nil"/>
          <w:left w:val="nil"/>
          <w:bottom w:val="nil"/>
          <w:right w:val="nil"/>
          <w:between w:val="nil"/>
        </w:pBdr>
        <w:spacing w:before="240" w:after="80" w:line="300" w:lineRule="auto"/>
        <w:jc w:val="center"/>
        <w:rPr>
          <w:b/>
          <w:bCs/>
          <w:color w:val="000000"/>
          <w:sz w:val="22"/>
          <w:szCs w:val="22"/>
        </w:rPr>
      </w:pPr>
      <w:r>
        <w:rPr>
          <w:b/>
          <w:bCs/>
          <w:color w:val="000000"/>
          <w:sz w:val="22"/>
          <w:szCs w:val="22"/>
        </w:rPr>
        <w:t>3.3. Bibliografie</w:t>
      </w:r>
    </w:p>
    <w:p w14:paraId="1693084F" w14:textId="77777777" w:rsidR="008763BF" w:rsidRDefault="00000000">
      <w:pPr>
        <w:pBdr>
          <w:top w:val="single" w:sz="6" w:space="0" w:color="000000"/>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 2000 - Lista roşie a speciilor de plante și animale pentru judeţul Satu Mare, Satu Mare, St. Com., Seria Şt. nat., I, 413-419.</w:t>
      </w:r>
    </w:p>
    <w:p w14:paraId="21B2734D"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&amp; Karácsonyi, K. (2005). Flora, vegetaţia, fauna şi ecologia nisipurilor din nord-vestul României. Satu-Mare: Edit. Daya.</w:t>
      </w:r>
    </w:p>
    <w:p w14:paraId="55FE2395"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Ardelean, G. &amp; Karácsonyi, K. (2008). Rezervaţiile naturale sătmărene de pe nisipurile din nord-vestul României. Satu-Mare: Edit. Daya.</w:t>
      </w:r>
    </w:p>
    <w:p w14:paraId="11A7DBB8"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Benedek, Z. (1969). Dunele din regiunea Carei – Valea lui Mihai și limonitizarea lor. Comunic. Geograf. S.S.G., 7, 51-62</w:t>
      </w:r>
    </w:p>
    <w:p w14:paraId="6FA4CFB3" w14:textId="77777777" w:rsidR="008763BF" w:rsidRDefault="00000000">
      <w:pPr>
        <w:pBdr>
          <w:top w:val="nil"/>
          <w:left w:val="single" w:sz="6" w:space="0" w:color="000000"/>
          <w:bottom w:val="nil"/>
          <w:right w:val="single" w:sz="6" w:space="0" w:color="000000"/>
          <w:between w:val="nil"/>
        </w:pBdr>
        <w:spacing w:after="0" w:line="300" w:lineRule="auto"/>
        <w:rPr>
          <w:color w:val="000000"/>
          <w:sz w:val="22"/>
          <w:szCs w:val="22"/>
        </w:rPr>
      </w:pPr>
      <w:r>
        <w:rPr>
          <w:color w:val="000000"/>
          <w:sz w:val="22"/>
          <w:szCs w:val="22"/>
        </w:rPr>
        <w:t>Karácsonyi, C. 1995 - Flora şi vegetaţia judeţului Satu Mare. Satu Mare: Edit. Muzeului Sătmărean.</w:t>
      </w:r>
    </w:p>
    <w:p w14:paraId="20C0E62A" w14:textId="77777777" w:rsidR="008763BF" w:rsidRDefault="00000000">
      <w:pPr>
        <w:pBdr>
          <w:top w:val="nil"/>
          <w:left w:val="single" w:sz="6" w:space="0" w:color="000000"/>
          <w:bottom w:val="single" w:sz="6" w:space="0" w:color="000000"/>
          <w:right w:val="single" w:sz="6" w:space="0" w:color="000000"/>
          <w:between w:val="nil"/>
        </w:pBdr>
        <w:spacing w:after="0" w:line="300" w:lineRule="auto"/>
        <w:rPr>
          <w:color w:val="000000"/>
          <w:sz w:val="22"/>
          <w:szCs w:val="22"/>
        </w:rPr>
      </w:pPr>
      <w:r>
        <w:rPr>
          <w:color w:val="000000"/>
          <w:sz w:val="22"/>
          <w:szCs w:val="22"/>
        </w:rPr>
        <w:lastRenderedPageBreak/>
        <w:t>Szatmari, P.-M., 2012 - Alien and invasive plants în Carei Plain natural protected area, western Romania: Impact on natural habitats and conservation implications. South Western Journal of Horticulture, Biology and Environment, Craiova, 3, 109-120.</w:t>
      </w:r>
    </w:p>
    <w:p w14:paraId="234A8E89" w14:textId="77777777" w:rsidR="008763BF" w:rsidRDefault="00000000">
      <w:pPr>
        <w:pBdr>
          <w:top w:val="nil"/>
          <w:left w:val="nil"/>
          <w:bottom w:val="nil"/>
          <w:right w:val="nil"/>
          <w:between w:val="nil"/>
        </w:pBdr>
        <w:spacing w:before="480" w:after="120" w:line="300" w:lineRule="auto"/>
        <w:jc w:val="center"/>
        <w:rPr>
          <w:b/>
          <w:bCs/>
          <w:color w:val="000000"/>
          <w:sz w:val="22"/>
          <w:szCs w:val="22"/>
        </w:rPr>
      </w:pPr>
      <w:r>
        <w:rPr>
          <w:b/>
          <w:bCs/>
          <w:color w:val="000000"/>
          <w:sz w:val="22"/>
          <w:szCs w:val="22"/>
        </w:rPr>
        <w:t xml:space="preserve">4. Consultări publice cu privire la desemnarea Zonelor Prioritare pentru Biodiversitate</w:t>
      </w:r>
    </w:p>
    <w:p w14:paraId="7E4AD6DD" w14:textId="77777777" w:rsidR="008763BF" w:rsidRDefault="00000000">
      <w:pPr>
        <w:pBdr>
          <w:top w:val="single" w:sz="6" w:space="0" w:color="000000"/>
          <w:left w:val="single" w:sz="6" w:space="0" w:color="000000"/>
          <w:bottom w:val="single" w:sz="6" w:space="0" w:color="000000"/>
          <w:right w:val="single" w:sz="6" w:space="0" w:color="000000"/>
          <w:between w:val="nil"/>
        </w:pBdr>
        <w:spacing w:before="240" w:after="240" w:line="300" w:lineRule="auto"/>
        <w:jc w:val="both"/>
        <w:rPr>
          <w:color w:val="000000"/>
          <w:sz w:val="22"/>
          <w:szCs w:val="22"/>
        </w:rPr>
      </w:pPr>
      <w:r>
        <w:rPr>
          <w:color w:val="000000"/>
          <w:sz w:val="22"/>
          <w:szCs w:val="22"/>
        </w:rPr>
        <w:t xml:space="preserve">Consultările publice  au fost realizate la: 19 septembrie 2024 la Satu Mare; 19 septembrie 2024 – Oradea, jud. Bihor. Ulterior, în cadrul procesului de consultare extins la nivel național, au avut loc consultări suplimentare online în data de 9 decembrie 2025 cu participarea factorilor interesați relevanți din județul Satu Mare și în data de 29 ianuarie 2026 cu participarea factorilor interesați relevanți din județul Bihor, și consultări publice la Prefectura Bihor. În perioada 5-6 februarie 2026 au avut loc consultări publice la Prefectura Satu Mare. </w:t>
      </w:r>
    </w:p>
    <w:p w14:paraId="1821C5DD" w14:textId="77777777" w:rsidR="008763BF" w:rsidRDefault="008763BF">
      <w:pPr>
        <w:pBdr>
          <w:top w:val="nil"/>
          <w:left w:val="nil"/>
          <w:bottom w:val="nil"/>
          <w:right w:val="nil"/>
          <w:between w:val="nil"/>
        </w:pBdr>
        <w:spacing w:after="0" w:line="300" w:lineRule="auto"/>
        <w:rPr>
          <w:color w:val="000000"/>
          <w:sz w:val="22"/>
          <w:szCs w:val="22"/>
        </w:rPr>
      </w:pPr>
    </w:p>
    <w:p w14:paraId="62B06036" w14:textId="77777777" w:rsidR="008763BF" w:rsidRDefault="008763BF">
      <w:pPr>
        <w:pBdr>
          <w:top w:val="nil"/>
          <w:left w:val="nil"/>
          <w:bottom w:val="nil"/>
          <w:right w:val="nil"/>
          <w:between w:val="nil"/>
        </w:pBdr>
        <w:jc w:val="center"/>
        <w:rPr>
          <w:b/>
          <w:bCs/>
          <w:color w:val="000000"/>
          <w:sz w:val="22"/>
          <w:szCs w:val="22"/>
        </w:rPr>
      </w:pPr>
    </w:p>
    <w:p w14:paraId="2367E8E9" w14:textId="77777777" w:rsidR="008763BF" w:rsidRDefault="00000000">
      <w:pPr>
        <w:pBdr>
          <w:top w:val="nil"/>
          <w:left w:val="nil"/>
          <w:bottom w:val="nil"/>
          <w:right w:val="nil"/>
          <w:between w:val="nil"/>
        </w:pBdr>
        <w:jc w:val="center"/>
        <w:rPr>
          <w:b/>
          <w:bCs/>
          <w:color w:val="000000"/>
          <w:sz w:val="22"/>
          <w:szCs w:val="22"/>
        </w:rPr>
      </w:pPr>
      <w:r>
        <w:rPr>
          <w:b/>
          <w:bCs/>
          <w:color w:val="000000"/>
          <w:sz w:val="22"/>
          <w:szCs w:val="22"/>
        </w:rPr>
        <w:t>5. Harta Zonelor Prioritare pentru Biodiversitate</w:t>
      </w:r>
    </w:p>
    <w:p w14:paraId="645EFEB2" w14:textId="77777777" w:rsidR="008763BF" w:rsidRDefault="008763BF">
      <w:pPr>
        <w:pBdr>
          <w:top w:val="nil"/>
          <w:left w:val="nil"/>
          <w:bottom w:val="nil"/>
          <w:right w:val="nil"/>
          <w:between w:val="nil"/>
        </w:pBdr>
        <w:jc w:val="center"/>
        <w:rPr>
          <w:color w:val="000000"/>
          <w:sz w:val="22"/>
          <w:szCs w:val="22"/>
        </w:rPr>
      </w:pPr>
    </w:p>
    <w:p w14:paraId="2B5DDA84"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Limitele Zonelor Prioritare pentru Biodiversitate sunt disponibile în format digital:</w:t>
      </w:r>
    </w:p>
    <w:p w14:paraId="4A94CA5A" w14:textId="77777777" w:rsidR="008763BF" w:rsidRDefault="00000000">
      <w:pPr>
        <w:pBdr>
          <w:top w:val="nil"/>
          <w:left w:val="nil"/>
          <w:bottom w:val="nil"/>
          <w:right w:val="nil"/>
          <w:between w:val="nil"/>
        </w:pBdr>
        <w:spacing w:after="0" w:line="300" w:lineRule="auto"/>
        <w:rPr>
          <w:color w:val="000000"/>
          <w:sz w:val="22"/>
          <w:szCs w:val="22"/>
        </w:rPr>
      </w:pPr>
      <w:r>
        <w:rPr>
          <w:color w:val="000000"/>
          <w:sz w:val="22"/>
          <w:szCs w:val="22"/>
        </w:rPr>
        <w:t xml:space="preserve">Link: </w:t>
      </w:r>
      <w:hyperlink r:id="rId6">
        <w:r>
          <w:rPr>
            <w:color w:val="000080"/>
            <w:sz w:val="22"/>
            <w:szCs w:val="22"/>
            <w:u w:val="single"/>
          </w:rPr>
          <w:t>https://mmediu.ro/domenii/mediu/arii-naturale-protejate/zpb-pnrr-i-3/</w:t>
        </w:r>
      </w:hyperlink>
      <w:r>
        <w:rPr>
          <w:color w:val="000000"/>
          <w:sz w:val="22"/>
          <w:szCs w:val="22"/>
        </w:rPr>
        <w:t xml:space="preserve"> </w:t>
      </w:r>
    </w:p>
    <w:p w14:paraId="4923B4B6" w14:textId="77777777" w:rsidR="008763BF" w:rsidRDefault="008763BF">
      <w:pPr>
        <w:pBdr>
          <w:top w:val="nil"/>
          <w:left w:val="nil"/>
          <w:bottom w:val="nil"/>
          <w:right w:val="nil"/>
          <w:between w:val="nil"/>
        </w:pBdr>
        <w:spacing w:after="0" w:line="300" w:lineRule="auto"/>
        <w:rPr>
          <w:color w:val="000000"/>
          <w:sz w:val="22"/>
          <w:szCs w:val="22"/>
        </w:rPr>
      </w:pPr>
    </w:p>
    <w:sectPr w:rsidR="008763BF">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340B5"/>
    <w:multiLevelType w:val="multilevel"/>
    <w:tmpl w:val="1F9AC0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C86661C"/>
    <w:multiLevelType w:val="multilevel"/>
    <w:tmpl w:val="7FECF5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4965236">
    <w:abstractNumId w:val="1"/>
  </w:num>
  <w:num w:numId="2" w16cid:durableId="822889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3BF"/>
    <w:rsid w:val="00000B4A"/>
    <w:rsid w:val="0045512A"/>
    <w:rsid w:val="00601A06"/>
    <w:rsid w:val="008763BF"/>
    <w:rsid w:val="00E269DD"/>
    <w:rsid w:val="00E85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ED79"/>
  <w15:docId w15:val="{B6C6BEBC-8827-4A9A-93EA-C1070324F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line="240" w:lineRule="auto"/>
      <w:outlineLvl w:val="0"/>
    </w:pPr>
    <w:rPr>
      <w:b/>
      <w:bCs/>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line="240" w:lineRule="auto"/>
      <w:outlineLvl w:val="1"/>
    </w:pPr>
    <w:rPr>
      <w:b/>
      <w:bCs/>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line="240" w:lineRule="auto"/>
      <w:outlineLvl w:val="2"/>
    </w:pPr>
    <w:rPr>
      <w:b/>
      <w:bCs/>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line="240" w:lineRule="auto"/>
      <w:outlineLvl w:val="3"/>
    </w:pPr>
    <w:rPr>
      <w:b/>
      <w:bCs/>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line="240" w:lineRule="auto"/>
      <w:outlineLvl w:val="4"/>
    </w:pPr>
    <w:rPr>
      <w:b/>
      <w:bCs/>
      <w:color w:val="000000"/>
      <w:sz w:val="22"/>
      <w:szCs w:val="22"/>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line="240" w:lineRule="auto"/>
      <w:outlineLvl w:val="5"/>
    </w:pPr>
    <w:rPr>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Bdr>
        <w:top w:val="nil"/>
        <w:left w:val="nil"/>
        <w:bottom w:val="nil"/>
        <w:right w:val="nil"/>
        <w:between w:val="nil"/>
      </w:pBdr>
      <w:spacing w:before="480" w:after="120" w:line="240" w:lineRule="auto"/>
    </w:pPr>
    <w:rPr>
      <w:b/>
      <w:bCs/>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8" w:type="dxa"/>
        <w:bottom w:w="0" w:type="dxa"/>
        <w:right w:w="108"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08" w:type="dxa"/>
        <w:bottom w:w="0" w:type="dxa"/>
        <w:right w:w="108"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table" w:customStyle="1" w:styleId="a4">
    <w:basedOn w:val="TableNormal0"/>
    <w:tblPr>
      <w:tblStyleRowBandSize w:val="1"/>
      <w:tblStyleColBandSize w:val="1"/>
      <w:tblCellMar>
        <w:top w:w="0" w:type="dxa"/>
        <w:left w:w="108" w:type="dxa"/>
        <w:bottom w:w="0" w:type="dxa"/>
        <w:right w:w="108"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table" w:customStyle="1" w:styleId="a6">
    <w:basedOn w:val="TableNormal0"/>
    <w:tblPr>
      <w:tblStyleRowBandSize w:val="1"/>
      <w:tblStyleColBandSize w:val="1"/>
      <w:tblCellMar>
        <w:top w:w="0" w:type="dxa"/>
        <w:left w:w="108" w:type="dxa"/>
        <w:bottom w:w="0" w:type="dxa"/>
        <w:right w:w="108" w:type="dxa"/>
      </w:tblCellMar>
    </w:tblPr>
  </w:style>
  <w:style w:type="table" w:customStyle="1" w:styleId="a7">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qw4Shvk+8+KJA02WjdSCTX+PB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R5YjE3TjcyRUJmQ1hPbHJtcjFSemxyQTNfbzRlTjl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3875</Words>
  <Characters>22091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5</cp:revision>
  <dcterms:created xsi:type="dcterms:W3CDTF">2026-06-16T06:53:00Z</dcterms:created>
  <dcterms:modified xsi:type="dcterms:W3CDTF">2026-06-16T07:05:00Z</dcterms:modified>
</cp:coreProperties>
</file>